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A08CA" w14:textId="77777777" w:rsidR="003C4913" w:rsidRPr="00015276" w:rsidRDefault="003C4913" w:rsidP="00CC4B05">
      <w:pPr>
        <w:pStyle w:val="BNDES"/>
        <w:rPr>
          <w:rFonts w:cs="Calibri"/>
          <w:b/>
          <w:bCs/>
          <w:sz w:val="26"/>
          <w:szCs w:val="26"/>
        </w:rPr>
      </w:pPr>
      <w:bookmarkStart w:id="0" w:name="_GoBack"/>
      <w:bookmarkEnd w:id="0"/>
      <w:r w:rsidRPr="00015276">
        <w:rPr>
          <w:rFonts w:cs="Calibri"/>
          <w:b/>
          <w:bCs/>
          <w:sz w:val="26"/>
          <w:szCs w:val="26"/>
        </w:rPr>
        <w:t xml:space="preserve">Obstáculos de Conhecimento Também Explicam a </w:t>
      </w:r>
      <w:r w:rsidR="00A218BF" w:rsidRPr="00015276">
        <w:rPr>
          <w:rFonts w:cs="Calibri"/>
          <w:b/>
          <w:bCs/>
          <w:sz w:val="26"/>
          <w:szCs w:val="26"/>
        </w:rPr>
        <w:t>Baixa Propensão à Inovar das Empresas Brasileiras</w:t>
      </w:r>
    </w:p>
    <w:p w14:paraId="5BC00041" w14:textId="77777777" w:rsidR="003C4913" w:rsidRDefault="003C4913" w:rsidP="00A63FBF">
      <w:pPr>
        <w:pStyle w:val="BNDES"/>
        <w:rPr>
          <w:rFonts w:cs="Calibri"/>
        </w:rPr>
      </w:pPr>
    </w:p>
    <w:p w14:paraId="6FD69367" w14:textId="77777777" w:rsidR="00960DC0" w:rsidRDefault="00960DC0" w:rsidP="00A63FBF">
      <w:pPr>
        <w:pStyle w:val="BNDES"/>
        <w:rPr>
          <w:rFonts w:cs="Calibri"/>
        </w:rPr>
        <w:sectPr w:rsidR="00960DC0" w:rsidSect="009E3B41">
          <w:footerReference w:type="default" r:id="rId8"/>
          <w:pgSz w:w="11907" w:h="16840" w:code="9"/>
          <w:pgMar w:top="1418" w:right="1417" w:bottom="1418" w:left="1276" w:header="709" w:footer="709" w:gutter="0"/>
          <w:cols w:space="708"/>
          <w:docGrid w:linePitch="360" w:charSpace="1"/>
        </w:sectPr>
      </w:pPr>
    </w:p>
    <w:p w14:paraId="15E1D5CD" w14:textId="77777777" w:rsidR="0062033C" w:rsidRDefault="0062033C" w:rsidP="00960DC0">
      <w:pPr>
        <w:pStyle w:val="BNDES"/>
        <w:jc w:val="center"/>
        <w:rPr>
          <w:rFonts w:cs="Calibri"/>
        </w:rPr>
      </w:pPr>
      <w:r>
        <w:rPr>
          <w:rFonts w:cs="Calibri"/>
        </w:rPr>
        <w:t>Mauricio Canêdo-Pinheiro</w:t>
      </w:r>
    </w:p>
    <w:p w14:paraId="13D3C4DC" w14:textId="77777777" w:rsidR="00960DC0" w:rsidRDefault="00960DC0" w:rsidP="00960DC0">
      <w:pPr>
        <w:pStyle w:val="BNDES"/>
        <w:jc w:val="center"/>
        <w:rPr>
          <w:rFonts w:cs="Calibri"/>
        </w:rPr>
      </w:pPr>
      <w:r>
        <w:rPr>
          <w:rFonts w:cs="Calibri"/>
        </w:rPr>
        <w:t>UERJ e FGV/EPGE</w:t>
      </w:r>
    </w:p>
    <w:p w14:paraId="3E33E5EB" w14:textId="77777777" w:rsidR="00960DC0" w:rsidRDefault="00960DC0" w:rsidP="00960DC0">
      <w:pPr>
        <w:pStyle w:val="BNDES"/>
        <w:jc w:val="center"/>
        <w:rPr>
          <w:rFonts w:cs="Calibri"/>
        </w:rPr>
      </w:pPr>
      <w:r>
        <w:rPr>
          <w:rFonts w:cs="Calibri"/>
        </w:rPr>
        <w:t>Filipe Lage de Sousa</w:t>
      </w:r>
    </w:p>
    <w:p w14:paraId="68083279" w14:textId="77777777" w:rsidR="00960DC0" w:rsidRDefault="00960DC0" w:rsidP="00960DC0">
      <w:pPr>
        <w:pStyle w:val="BNDES"/>
        <w:jc w:val="center"/>
        <w:rPr>
          <w:rFonts w:cs="Calibri"/>
        </w:rPr>
      </w:pPr>
      <w:r>
        <w:rPr>
          <w:rFonts w:cs="Calibri"/>
        </w:rPr>
        <w:t>BNDES e UFF</w:t>
      </w:r>
    </w:p>
    <w:p w14:paraId="1D853E73" w14:textId="77777777" w:rsidR="00960DC0" w:rsidRDefault="00960DC0" w:rsidP="00960DC0">
      <w:pPr>
        <w:pStyle w:val="BNDES"/>
        <w:rPr>
          <w:rFonts w:cs="Calibri"/>
        </w:rPr>
        <w:sectPr w:rsidR="00960DC0" w:rsidSect="00960DC0">
          <w:type w:val="continuous"/>
          <w:pgSz w:w="11907" w:h="16840" w:code="9"/>
          <w:pgMar w:top="1418" w:right="1417" w:bottom="1418" w:left="1276" w:header="709" w:footer="709" w:gutter="0"/>
          <w:cols w:num="2" w:space="708"/>
          <w:docGrid w:linePitch="360" w:charSpace="1"/>
        </w:sectPr>
      </w:pPr>
    </w:p>
    <w:p w14:paraId="1BB98A3C" w14:textId="77777777" w:rsidR="0062033C" w:rsidRDefault="0062033C" w:rsidP="00A63FBF">
      <w:pPr>
        <w:pStyle w:val="BNDES"/>
        <w:rPr>
          <w:rFonts w:cs="Calibri"/>
        </w:rPr>
      </w:pPr>
    </w:p>
    <w:p w14:paraId="37F8EC13" w14:textId="77777777" w:rsidR="000101F8" w:rsidRDefault="003C4913" w:rsidP="004C5C3B">
      <w:pPr>
        <w:pStyle w:val="BNDES"/>
        <w:spacing w:after="240"/>
        <w:jc w:val="center"/>
        <w:rPr>
          <w:rFonts w:cs="Calibri"/>
          <w:b/>
          <w:bCs/>
        </w:rPr>
      </w:pPr>
      <w:r w:rsidRPr="004C5C3B">
        <w:rPr>
          <w:rFonts w:cs="Calibri"/>
          <w:b/>
          <w:bCs/>
        </w:rPr>
        <w:t>Resumo</w:t>
      </w:r>
    </w:p>
    <w:p w14:paraId="63856B4B" w14:textId="77777777" w:rsidR="004C5C3B" w:rsidRPr="004C5C3B" w:rsidRDefault="00872265" w:rsidP="00A76FC2">
      <w:pPr>
        <w:pStyle w:val="BNDES"/>
        <w:spacing w:after="480"/>
        <w:ind w:left="567" w:right="567"/>
        <w:rPr>
          <w:rFonts w:cs="Calibri"/>
        </w:rPr>
      </w:pPr>
      <w:r>
        <w:rPr>
          <w:rFonts w:cs="Calibri"/>
        </w:rPr>
        <w:t xml:space="preserve">Inovação é um dos principais </w:t>
      </w:r>
      <w:r w:rsidR="00AB3B5E">
        <w:rPr>
          <w:rFonts w:cs="Calibri"/>
        </w:rPr>
        <w:t xml:space="preserve">fatores responsáveis pelo aumento de produtividade das empresas </w:t>
      </w:r>
      <w:r w:rsidR="00E135C2">
        <w:rPr>
          <w:rFonts w:cs="Calibri"/>
        </w:rPr>
        <w:t xml:space="preserve">e, em última análise, do aumento do padrão de vida </w:t>
      </w:r>
      <w:r w:rsidR="00AB3B5E">
        <w:rPr>
          <w:rFonts w:cs="Calibri"/>
        </w:rPr>
        <w:t>das sociedades modernas</w:t>
      </w:r>
      <w:r w:rsidR="00E135C2">
        <w:rPr>
          <w:rFonts w:cs="Calibri"/>
        </w:rPr>
        <w:t xml:space="preserve">. </w:t>
      </w:r>
      <w:r w:rsidR="00021C7C">
        <w:rPr>
          <w:rFonts w:cs="Calibri"/>
        </w:rPr>
        <w:t>Baseado nesta percepção aumentou-se expressivamente o volume de recursos, o alcance e o escopo das políticas públicas de apoio à inovação, e</w:t>
      </w:r>
      <w:r w:rsidR="00FC6663">
        <w:rPr>
          <w:rFonts w:cs="Calibri"/>
        </w:rPr>
        <w:t>m</w:t>
      </w:r>
      <w:r w:rsidR="00021C7C">
        <w:rPr>
          <w:rFonts w:cs="Calibri"/>
        </w:rPr>
        <w:t xml:space="preserve"> especial à inovação no âmbito das empresas. Mas os resultados foram muito aquém do esperado. </w:t>
      </w:r>
      <w:r w:rsidR="00FC6663">
        <w:rPr>
          <w:rFonts w:cs="Calibri"/>
        </w:rPr>
        <w:t xml:space="preserve">Entre outros fatores, especula-se que, embora tenha ajudado a mitigar obstáculos financeiros à inovação, a política pública não contemplou adequadamente outros obstáculos. </w:t>
      </w:r>
      <w:r w:rsidR="004C5C3B" w:rsidRPr="004C5C3B">
        <w:rPr>
          <w:rFonts w:cs="Calibri"/>
        </w:rPr>
        <w:t>Esta nota</w:t>
      </w:r>
      <w:r w:rsidR="004C5C3B">
        <w:rPr>
          <w:rFonts w:cs="Calibri"/>
        </w:rPr>
        <w:t xml:space="preserve"> descreve os resultados de uma agenda de pesquisa que tenta</w:t>
      </w:r>
      <w:r w:rsidR="00FC6663">
        <w:rPr>
          <w:rFonts w:cs="Calibri"/>
        </w:rPr>
        <w:t xml:space="preserve"> endereçar esta questão</w:t>
      </w:r>
      <w:r w:rsidR="004C5C3B">
        <w:rPr>
          <w:rFonts w:cs="Calibri"/>
        </w:rPr>
        <w:t xml:space="preserve">. </w:t>
      </w:r>
      <w:r w:rsidR="00FC6663">
        <w:rPr>
          <w:rFonts w:cs="Calibri"/>
        </w:rPr>
        <w:t xml:space="preserve">Em particular, mede-se o impacto de diferentes tipos de obstáculos à inovação. </w:t>
      </w:r>
      <w:r w:rsidR="00B10D13">
        <w:rPr>
          <w:rFonts w:cs="Calibri"/>
        </w:rPr>
        <w:t xml:space="preserve">Conforme esperado, </w:t>
      </w:r>
      <w:r w:rsidR="00FB3639">
        <w:rPr>
          <w:rFonts w:cs="Calibri"/>
        </w:rPr>
        <w:t xml:space="preserve">os </w:t>
      </w:r>
      <w:r w:rsidR="00B10D13">
        <w:rPr>
          <w:rFonts w:cs="Calibri"/>
        </w:rPr>
        <w:t xml:space="preserve">obstáculos financeiros </w:t>
      </w:r>
      <w:r w:rsidR="00153146">
        <w:rPr>
          <w:rFonts w:cs="Calibri"/>
        </w:rPr>
        <w:t xml:space="preserve">são muito relevantes: </w:t>
      </w:r>
      <w:r w:rsidR="00A15F29">
        <w:rPr>
          <w:rFonts w:cs="Calibri"/>
        </w:rPr>
        <w:t xml:space="preserve">um incremento de 10 pontos percentuais na probabilidade de uma empresa brasileira enfrentar </w:t>
      </w:r>
      <w:r w:rsidR="00153146">
        <w:rPr>
          <w:rFonts w:cs="Calibri"/>
        </w:rPr>
        <w:t xml:space="preserve">barreiras financeiras </w:t>
      </w:r>
      <w:r w:rsidR="00A15F29">
        <w:rPr>
          <w:rFonts w:cs="Calibri"/>
        </w:rPr>
        <w:t xml:space="preserve">reduz em média </w:t>
      </w:r>
      <w:r w:rsidR="00153146">
        <w:rPr>
          <w:rFonts w:cs="Calibri"/>
        </w:rPr>
        <w:t>5</w:t>
      </w:r>
      <w:r w:rsidR="00A15F29">
        <w:rPr>
          <w:rFonts w:cs="Calibri"/>
        </w:rPr>
        <w:t>,</w:t>
      </w:r>
      <w:r w:rsidR="00153146">
        <w:rPr>
          <w:rFonts w:cs="Calibri"/>
        </w:rPr>
        <w:t>40 ponto</w:t>
      </w:r>
      <w:r w:rsidR="00A15F29">
        <w:rPr>
          <w:rFonts w:cs="Calibri"/>
        </w:rPr>
        <w:t>s</w:t>
      </w:r>
      <w:r w:rsidR="00153146">
        <w:rPr>
          <w:rFonts w:cs="Calibri"/>
        </w:rPr>
        <w:t xml:space="preserve"> percentua</w:t>
      </w:r>
      <w:r w:rsidR="00A15F29">
        <w:rPr>
          <w:rFonts w:cs="Calibri"/>
        </w:rPr>
        <w:t>is</w:t>
      </w:r>
      <w:r w:rsidR="00153146">
        <w:rPr>
          <w:rFonts w:cs="Calibri"/>
        </w:rPr>
        <w:t xml:space="preserve"> </w:t>
      </w:r>
      <w:r w:rsidR="00A15F29">
        <w:rPr>
          <w:rFonts w:cs="Calibri"/>
        </w:rPr>
        <w:t xml:space="preserve">a probabilidade </w:t>
      </w:r>
      <w:r w:rsidR="00153146">
        <w:rPr>
          <w:rFonts w:cs="Calibri"/>
        </w:rPr>
        <w:t xml:space="preserve">de </w:t>
      </w:r>
      <w:r w:rsidR="00A15F29">
        <w:rPr>
          <w:rFonts w:cs="Calibri"/>
        </w:rPr>
        <w:t xml:space="preserve">ela </w:t>
      </w:r>
      <w:r w:rsidR="00153146">
        <w:rPr>
          <w:rFonts w:cs="Calibri"/>
        </w:rPr>
        <w:t>inovar</w:t>
      </w:r>
      <w:r w:rsidR="00B10D13">
        <w:rPr>
          <w:rFonts w:cs="Calibri"/>
        </w:rPr>
        <w:t xml:space="preserve">. Entretanto, </w:t>
      </w:r>
      <w:r w:rsidR="001B2980">
        <w:rPr>
          <w:rFonts w:cs="Calibri"/>
        </w:rPr>
        <w:t xml:space="preserve">altos </w:t>
      </w:r>
      <w:r w:rsidR="00B10D13">
        <w:rPr>
          <w:rFonts w:cs="Calibri"/>
        </w:rPr>
        <w:t>obstáculos de conhecimento t</w:t>
      </w:r>
      <w:r w:rsidR="001B2980">
        <w:rPr>
          <w:rFonts w:cs="Calibri"/>
        </w:rPr>
        <w:t>ê</w:t>
      </w:r>
      <w:r w:rsidR="00B10D13">
        <w:rPr>
          <w:rFonts w:cs="Calibri"/>
        </w:rPr>
        <w:t>m impacto comparável</w:t>
      </w:r>
      <w:r w:rsidR="00153146">
        <w:rPr>
          <w:rFonts w:cs="Calibri"/>
        </w:rPr>
        <w:t xml:space="preserve">: redução </w:t>
      </w:r>
      <w:r w:rsidR="005B7695">
        <w:rPr>
          <w:rFonts w:cs="Calibri"/>
        </w:rPr>
        <w:t xml:space="preserve">média </w:t>
      </w:r>
      <w:r w:rsidR="00153146">
        <w:rPr>
          <w:rFonts w:cs="Calibri"/>
        </w:rPr>
        <w:t>de 4</w:t>
      </w:r>
      <w:r w:rsidR="00A15F29">
        <w:rPr>
          <w:rFonts w:cs="Calibri"/>
        </w:rPr>
        <w:t>,</w:t>
      </w:r>
      <w:r w:rsidR="00153146">
        <w:rPr>
          <w:rFonts w:cs="Calibri"/>
        </w:rPr>
        <w:t>58 ponto</w:t>
      </w:r>
      <w:r w:rsidR="00A15F29">
        <w:rPr>
          <w:rFonts w:cs="Calibri"/>
        </w:rPr>
        <w:t>s</w:t>
      </w:r>
      <w:r w:rsidR="00153146">
        <w:rPr>
          <w:rFonts w:cs="Calibri"/>
        </w:rPr>
        <w:t xml:space="preserve"> percentua</w:t>
      </w:r>
      <w:r w:rsidR="00A15F29">
        <w:rPr>
          <w:rFonts w:cs="Calibri"/>
        </w:rPr>
        <w:t>is</w:t>
      </w:r>
      <w:r w:rsidR="001B2980">
        <w:rPr>
          <w:rFonts w:cs="Calibri"/>
        </w:rPr>
        <w:t xml:space="preserve"> na </w:t>
      </w:r>
      <w:r w:rsidR="00A15F29">
        <w:rPr>
          <w:rFonts w:cs="Calibri"/>
        </w:rPr>
        <w:t>propensã</w:t>
      </w:r>
      <w:r w:rsidR="00C57276">
        <w:rPr>
          <w:rFonts w:cs="Calibri"/>
        </w:rPr>
        <w:t xml:space="preserve">o </w:t>
      </w:r>
      <w:r w:rsidR="00A15F29">
        <w:rPr>
          <w:rFonts w:cs="Calibri"/>
        </w:rPr>
        <w:t xml:space="preserve">a </w:t>
      </w:r>
      <w:r w:rsidR="001B2980">
        <w:rPr>
          <w:rFonts w:cs="Calibri"/>
        </w:rPr>
        <w:t>inovar</w:t>
      </w:r>
      <w:r w:rsidR="00FB3639">
        <w:rPr>
          <w:rFonts w:cs="Calibri"/>
        </w:rPr>
        <w:t>. Assim, o aumento da prevalência de obstáculos de conhecimento</w:t>
      </w:r>
      <w:r w:rsidR="00C57276">
        <w:rPr>
          <w:rFonts w:cs="Calibri"/>
        </w:rPr>
        <w:t xml:space="preserve"> nos anos</w:t>
      </w:r>
      <w:r w:rsidR="00065562">
        <w:rPr>
          <w:rFonts w:cs="Calibri"/>
        </w:rPr>
        <w:t xml:space="preserve"> recentes</w:t>
      </w:r>
      <w:r w:rsidR="00C57276">
        <w:rPr>
          <w:rFonts w:cs="Calibri"/>
        </w:rPr>
        <w:t xml:space="preserve">, em especial escassez de capital humano, </w:t>
      </w:r>
      <w:r w:rsidR="00FB3639">
        <w:rPr>
          <w:rFonts w:cs="Calibri"/>
        </w:rPr>
        <w:t xml:space="preserve">pode explicar parte do resultado aquém do esperado </w:t>
      </w:r>
      <w:r w:rsidR="007502AB">
        <w:rPr>
          <w:rFonts w:cs="Calibri"/>
        </w:rPr>
        <w:t xml:space="preserve">em termos de aumento da inovação, mesmo com um incremento expressivo </w:t>
      </w:r>
      <w:r w:rsidR="009C467D">
        <w:rPr>
          <w:rFonts w:cs="Calibri"/>
        </w:rPr>
        <w:t>das políticas públicas de apoio a esta atividade</w:t>
      </w:r>
      <w:r w:rsidR="009C34CD">
        <w:rPr>
          <w:rFonts w:cs="Calibri"/>
        </w:rPr>
        <w:t xml:space="preserve">. </w:t>
      </w:r>
    </w:p>
    <w:p w14:paraId="107206A6" w14:textId="77777777" w:rsidR="002248A5" w:rsidRPr="0075124B" w:rsidRDefault="002248A5" w:rsidP="0075124B">
      <w:pPr>
        <w:pStyle w:val="BNDES"/>
        <w:spacing w:before="240" w:after="240"/>
        <w:rPr>
          <w:rFonts w:cs="Calibri"/>
          <w:b/>
          <w:bCs/>
        </w:rPr>
      </w:pPr>
      <w:r w:rsidRPr="00050039">
        <w:rPr>
          <w:rFonts w:cs="Calibri"/>
          <w:b/>
          <w:bCs/>
        </w:rPr>
        <w:t xml:space="preserve">Inovação como </w:t>
      </w:r>
      <w:r w:rsidR="0051700B">
        <w:rPr>
          <w:rFonts w:cs="Calibri"/>
          <w:b/>
          <w:bCs/>
        </w:rPr>
        <w:t>i</w:t>
      </w:r>
      <w:r w:rsidRPr="00050039">
        <w:rPr>
          <w:rFonts w:cs="Calibri"/>
          <w:b/>
          <w:bCs/>
        </w:rPr>
        <w:t xml:space="preserve">mpulsionador da </w:t>
      </w:r>
      <w:r w:rsidR="0051700B">
        <w:rPr>
          <w:rFonts w:cs="Calibri"/>
          <w:b/>
          <w:bCs/>
        </w:rPr>
        <w:t>p</w:t>
      </w:r>
      <w:r w:rsidRPr="00050039">
        <w:rPr>
          <w:rFonts w:cs="Calibri"/>
          <w:b/>
          <w:bCs/>
        </w:rPr>
        <w:t>rodutividade</w:t>
      </w:r>
      <w:r w:rsidR="00426BE8" w:rsidRPr="00050039">
        <w:rPr>
          <w:rFonts w:cs="Calibri"/>
          <w:b/>
          <w:bCs/>
        </w:rPr>
        <w:t xml:space="preserve"> das </w:t>
      </w:r>
      <w:r w:rsidR="0051700B">
        <w:rPr>
          <w:rFonts w:cs="Calibri"/>
          <w:b/>
          <w:bCs/>
        </w:rPr>
        <w:t>e</w:t>
      </w:r>
      <w:r w:rsidR="00426BE8" w:rsidRPr="00050039">
        <w:rPr>
          <w:rFonts w:cs="Calibri"/>
          <w:b/>
          <w:bCs/>
        </w:rPr>
        <w:t>mpresas</w:t>
      </w:r>
    </w:p>
    <w:p w14:paraId="0175BF16" w14:textId="77777777" w:rsidR="00066155" w:rsidRDefault="008205BE" w:rsidP="00066155">
      <w:pPr>
        <w:pStyle w:val="Recuodecorpodetexto"/>
        <w:spacing w:after="240"/>
        <w:ind w:left="0"/>
        <w:jc w:val="both"/>
      </w:pPr>
      <w:r>
        <w:t>Produtividade não é tudo, mas no longo prazo é quase tudo. Com esta frase, o economista Paul Krugman resumiu com muita propriedade a importância dos ganhos de produtividade para o aumento do padrão de vida das sociedades modernas (</w:t>
      </w:r>
      <w:r w:rsidRPr="008805A1">
        <w:t xml:space="preserve">Krugman, 1994). No caso brasileiro, essa afirmação ganha importância especial, na medida em que o desempenho da produtividade nos últimos anos, particularmente na indústria, tem sido sofrível (Bonelli </w:t>
      </w:r>
      <w:r w:rsidR="00A82362" w:rsidRPr="008805A1">
        <w:t>&amp;</w:t>
      </w:r>
      <w:r w:rsidRPr="008805A1">
        <w:t xml:space="preserve"> Pinheiro, 2016).</w:t>
      </w:r>
    </w:p>
    <w:p w14:paraId="1D306BFC" w14:textId="77777777" w:rsidR="00D87B53" w:rsidRDefault="00163636" w:rsidP="00D87B53">
      <w:pPr>
        <w:pStyle w:val="Recuodecorpodetexto"/>
        <w:spacing w:after="240"/>
        <w:ind w:left="0"/>
        <w:jc w:val="both"/>
      </w:pPr>
      <w:r w:rsidRPr="00163636">
        <w:t xml:space="preserve">A este respeito, </w:t>
      </w:r>
      <w:r w:rsidR="00D87B53" w:rsidRPr="00163636">
        <w:t xml:space="preserve">há amplas evidências </w:t>
      </w:r>
      <w:r w:rsidRPr="00163636">
        <w:t xml:space="preserve">de </w:t>
      </w:r>
      <w:r w:rsidR="00D87B53" w:rsidRPr="00163636">
        <w:t xml:space="preserve">que empresas </w:t>
      </w:r>
      <w:r w:rsidR="002F4A8F" w:rsidRPr="00163636">
        <w:t xml:space="preserve">inovadoras </w:t>
      </w:r>
      <w:r w:rsidRPr="00163636">
        <w:t>são mais produtivas e que o</w:t>
      </w:r>
      <w:r w:rsidR="00D87B53" w:rsidRPr="00163636">
        <w:t xml:space="preserve"> crescimento da produtividade d</w:t>
      </w:r>
      <w:r w:rsidRPr="00163636">
        <w:t>os</w:t>
      </w:r>
      <w:r w:rsidR="00D87B53" w:rsidRPr="00163636">
        <w:t xml:space="preserve"> países depende, em </w:t>
      </w:r>
      <w:r w:rsidRPr="00163636">
        <w:t>grande medida</w:t>
      </w:r>
      <w:r w:rsidR="00D87B53" w:rsidRPr="00163636">
        <w:t>, de empresas inovadoras</w:t>
      </w:r>
      <w:r w:rsidRPr="00163636">
        <w:t xml:space="preserve"> [ver Canêdo-Pinheiro &amp; Figueiredo (2017) para referências]</w:t>
      </w:r>
      <w:r w:rsidR="00D87B53" w:rsidRPr="00163636">
        <w:t>.</w:t>
      </w:r>
      <w:r w:rsidR="00D87B53" w:rsidRPr="00660357">
        <w:t xml:space="preserve"> </w:t>
      </w:r>
    </w:p>
    <w:p w14:paraId="65AB76D7" w14:textId="77777777" w:rsidR="00DC4265" w:rsidRPr="00050039" w:rsidRDefault="00DC4265" w:rsidP="00066155">
      <w:pPr>
        <w:pStyle w:val="Recuodecorpodetexto"/>
        <w:spacing w:after="240"/>
        <w:ind w:left="0"/>
        <w:jc w:val="both"/>
        <w:rPr>
          <w:b/>
        </w:rPr>
      </w:pPr>
      <w:r w:rsidRPr="00050039">
        <w:rPr>
          <w:b/>
        </w:rPr>
        <w:t>Mas o que é inovação, afinal?</w:t>
      </w:r>
    </w:p>
    <w:p w14:paraId="7DFB08B4" w14:textId="77777777" w:rsidR="00066155" w:rsidRDefault="00082D46" w:rsidP="00066155">
      <w:pPr>
        <w:pStyle w:val="Recuodecorpodetexto"/>
        <w:spacing w:after="240"/>
        <w:ind w:left="0"/>
        <w:jc w:val="both"/>
        <w:rPr>
          <w:bCs/>
        </w:rPr>
      </w:pPr>
      <w:r w:rsidRPr="005A7602">
        <w:rPr>
          <w:bCs/>
        </w:rPr>
        <w:t xml:space="preserve">Segundo o </w:t>
      </w:r>
      <w:r w:rsidRPr="006D3196">
        <w:rPr>
          <w:bCs/>
          <w:i/>
        </w:rPr>
        <w:t>Manual de Oslo</w:t>
      </w:r>
      <w:r w:rsidRPr="005A7602">
        <w:rPr>
          <w:bCs/>
        </w:rPr>
        <w:t xml:space="preserve">, </w:t>
      </w:r>
      <w:r w:rsidR="00BC1826">
        <w:rPr>
          <w:bCs/>
        </w:rPr>
        <w:t xml:space="preserve">referência em relação ao tema, </w:t>
      </w:r>
      <w:r w:rsidRPr="005A7602">
        <w:rPr>
          <w:bCs/>
        </w:rPr>
        <w:t>inovação é</w:t>
      </w:r>
      <w:r w:rsidR="00CB165D">
        <w:rPr>
          <w:bCs/>
        </w:rPr>
        <w:t xml:space="preserve"> a </w:t>
      </w:r>
      <w:r w:rsidRPr="005A7602">
        <w:rPr>
          <w:bCs/>
        </w:rPr>
        <w:t>“</w:t>
      </w:r>
      <w:r w:rsidRPr="006D3196">
        <w:rPr>
          <w:bCs/>
        </w:rPr>
        <w:t xml:space="preserve">implementação de um produto (bem ou serviço) novo ou significativamente melhorado, ou um processo, ou um novo método de </w:t>
      </w:r>
      <w:r w:rsidRPr="003608FA">
        <w:rPr>
          <w:bCs/>
          <w:i/>
        </w:rPr>
        <w:t>marketing</w:t>
      </w:r>
      <w:r w:rsidRPr="006D3196">
        <w:rPr>
          <w:bCs/>
        </w:rPr>
        <w:t>, ou um novo método organizacional nas práticas de negócios,</w:t>
      </w:r>
      <w:r w:rsidRPr="005A7602">
        <w:rPr>
          <w:bCs/>
          <w:i/>
        </w:rPr>
        <w:t xml:space="preserve"> </w:t>
      </w:r>
      <w:r w:rsidRPr="006D3196">
        <w:rPr>
          <w:bCs/>
        </w:rPr>
        <w:t>na organização do local de trabalho ou nas relações externas</w:t>
      </w:r>
      <w:r w:rsidRPr="005A7602">
        <w:rPr>
          <w:bCs/>
        </w:rPr>
        <w:t>”.</w:t>
      </w:r>
      <w:r>
        <w:rPr>
          <w:bCs/>
        </w:rPr>
        <w:t xml:space="preserve"> Inovação tecnológica, tema deste </w:t>
      </w:r>
      <w:r w:rsidR="00085E03">
        <w:rPr>
          <w:bCs/>
        </w:rPr>
        <w:t>artigo</w:t>
      </w:r>
      <w:r>
        <w:rPr>
          <w:bCs/>
        </w:rPr>
        <w:t>, compreende apenas inovações de produto ou de processo.</w:t>
      </w:r>
    </w:p>
    <w:p w14:paraId="2289EDCF" w14:textId="77777777" w:rsidR="0024616D" w:rsidRDefault="0024616D" w:rsidP="00066155">
      <w:pPr>
        <w:pStyle w:val="Recuodecorpodetexto"/>
        <w:spacing w:after="240"/>
        <w:ind w:left="0"/>
        <w:jc w:val="both"/>
        <w:rPr>
          <w:bCs/>
          <w:highlight w:val="yellow"/>
        </w:rPr>
      </w:pPr>
      <w:r w:rsidRPr="007C053F">
        <w:rPr>
          <w:bCs/>
        </w:rPr>
        <w:t xml:space="preserve">A inovação, como outras atividades realizadas no âmbito das empresas, é um processo. </w:t>
      </w:r>
      <w:r w:rsidR="0040743C" w:rsidRPr="007C053F">
        <w:rPr>
          <w:bCs/>
        </w:rPr>
        <w:t xml:space="preserve">Até chegar a esse resultado – idealmente uma inovação bem sucedida – as empresas empreendem uma série de passos intermediários, aos quais chamaremos de atividades inovativas. </w:t>
      </w:r>
      <w:r w:rsidR="007C053F" w:rsidRPr="007C053F">
        <w:rPr>
          <w:bCs/>
        </w:rPr>
        <w:t>Essas atividades incluem compra de máquinas e equipamentos, realização de pesquisa e desenvolvimento</w:t>
      </w:r>
      <w:r w:rsidR="007C053F">
        <w:rPr>
          <w:bCs/>
        </w:rPr>
        <w:t xml:space="preserve"> (P&amp;D)</w:t>
      </w:r>
      <w:r w:rsidR="007C053F" w:rsidRPr="007C053F">
        <w:rPr>
          <w:bCs/>
        </w:rPr>
        <w:t>, troca de conhecimento com outros agentes econômicos, entre muitas outras.</w:t>
      </w:r>
      <w:r w:rsidR="0040743C">
        <w:rPr>
          <w:bCs/>
          <w:highlight w:val="yellow"/>
        </w:rPr>
        <w:t xml:space="preserve">  </w:t>
      </w:r>
    </w:p>
    <w:p w14:paraId="2074E0F6" w14:textId="77777777" w:rsidR="007C053F" w:rsidRDefault="00082D46" w:rsidP="00066155">
      <w:pPr>
        <w:pStyle w:val="Recuodecorpodetexto"/>
        <w:spacing w:after="240"/>
        <w:ind w:left="0"/>
        <w:jc w:val="both"/>
        <w:rPr>
          <w:bCs/>
        </w:rPr>
      </w:pPr>
      <w:r>
        <w:rPr>
          <w:bCs/>
        </w:rPr>
        <w:lastRenderedPageBreak/>
        <w:t xml:space="preserve">Muitas vezes a inovação é confundida </w:t>
      </w:r>
      <w:r w:rsidR="007C053F">
        <w:rPr>
          <w:bCs/>
        </w:rPr>
        <w:t xml:space="preserve">com as </w:t>
      </w:r>
      <w:r>
        <w:rPr>
          <w:bCs/>
        </w:rPr>
        <w:t xml:space="preserve">atividades de P&amp;D. </w:t>
      </w:r>
      <w:r w:rsidRPr="00600051">
        <w:rPr>
          <w:bCs/>
        </w:rPr>
        <w:t xml:space="preserve">Entretanto, a ênfase em relacionar inovação à P&amp;D é alvo de ampla crítica na literatura, principalmente porque </w:t>
      </w:r>
      <w:r w:rsidR="007C053F">
        <w:rPr>
          <w:bCs/>
        </w:rPr>
        <w:t xml:space="preserve">monitorar os dados </w:t>
      </w:r>
      <w:r w:rsidRPr="00600051">
        <w:rPr>
          <w:bCs/>
        </w:rPr>
        <w:t xml:space="preserve">de P&amp;D </w:t>
      </w:r>
      <w:r w:rsidR="007C053F">
        <w:rPr>
          <w:bCs/>
        </w:rPr>
        <w:t xml:space="preserve">das empresas significa dar conta apenas de </w:t>
      </w:r>
      <w:r w:rsidRPr="00600051">
        <w:rPr>
          <w:bCs/>
        </w:rPr>
        <w:t>(parte dos) insumos para a inovação, m</w:t>
      </w:r>
      <w:r>
        <w:rPr>
          <w:bCs/>
        </w:rPr>
        <w:t xml:space="preserve">as </w:t>
      </w:r>
      <w:r w:rsidRPr="00DD53B2">
        <w:rPr>
          <w:bCs/>
        </w:rPr>
        <w:t xml:space="preserve">nenhum produto </w:t>
      </w:r>
      <w:r w:rsidR="007C053F" w:rsidRPr="00DD53B2">
        <w:rPr>
          <w:bCs/>
        </w:rPr>
        <w:t>[</w:t>
      </w:r>
      <w:r w:rsidRPr="00DD53B2">
        <w:rPr>
          <w:bCs/>
        </w:rPr>
        <w:t xml:space="preserve">Kleinknecht </w:t>
      </w:r>
      <w:r w:rsidR="007C053F" w:rsidRPr="00DD53B2">
        <w:rPr>
          <w:bCs/>
        </w:rPr>
        <w:t xml:space="preserve">&amp; </w:t>
      </w:r>
      <w:r w:rsidRPr="00DD53B2">
        <w:rPr>
          <w:bCs/>
        </w:rPr>
        <w:t xml:space="preserve">Mohnen </w:t>
      </w:r>
      <w:r w:rsidR="007C053F" w:rsidRPr="00DD53B2">
        <w:rPr>
          <w:bCs/>
        </w:rPr>
        <w:t>(</w:t>
      </w:r>
      <w:r w:rsidRPr="00DD53B2">
        <w:rPr>
          <w:bCs/>
        </w:rPr>
        <w:t>2002)</w:t>
      </w:r>
      <w:r w:rsidR="007C053F" w:rsidRPr="00DD53B2">
        <w:rPr>
          <w:bCs/>
        </w:rPr>
        <w:t>]</w:t>
      </w:r>
      <w:r w:rsidRPr="00DD53B2">
        <w:rPr>
          <w:bCs/>
        </w:rPr>
        <w:t>.</w:t>
      </w:r>
      <w:r w:rsidRPr="00600051">
        <w:rPr>
          <w:bCs/>
        </w:rPr>
        <w:t xml:space="preserve"> </w:t>
      </w:r>
    </w:p>
    <w:p w14:paraId="3EE71123" w14:textId="77777777" w:rsidR="00066155" w:rsidRDefault="007C053F" w:rsidP="00066155">
      <w:pPr>
        <w:pStyle w:val="Recuodecorpodetexto"/>
        <w:spacing w:after="240"/>
        <w:ind w:left="0"/>
        <w:jc w:val="both"/>
      </w:pPr>
      <w:r>
        <w:rPr>
          <w:bCs/>
        </w:rPr>
        <w:t>Também é comum reduzir os resultados da inovação à geração de patentes. No entanto</w:t>
      </w:r>
      <w:r w:rsidR="00082D46" w:rsidRPr="00600051">
        <w:rPr>
          <w:bCs/>
        </w:rPr>
        <w:t>, patentes são prevalentes apenas em alguns setores industriais de países tecnologicamente avançados.</w:t>
      </w:r>
      <w:r>
        <w:rPr>
          <w:bCs/>
        </w:rPr>
        <w:t xml:space="preserve"> Nem toda inovação gera necessariamente uma patente.</w:t>
      </w:r>
    </w:p>
    <w:p w14:paraId="41894867" w14:textId="77777777" w:rsidR="00FA4135" w:rsidRDefault="00082D46" w:rsidP="00FA4135">
      <w:pPr>
        <w:pStyle w:val="Recuodecorpodetexto"/>
        <w:spacing w:after="240"/>
        <w:ind w:left="0"/>
        <w:jc w:val="both"/>
      </w:pPr>
      <w:r w:rsidRPr="00600051">
        <w:rPr>
          <w:bCs/>
        </w:rPr>
        <w:t>Para empresas de economias emergentes</w:t>
      </w:r>
      <w:r>
        <w:rPr>
          <w:bCs/>
        </w:rPr>
        <w:t>,</w:t>
      </w:r>
      <w:r w:rsidRPr="00600051">
        <w:rPr>
          <w:bCs/>
        </w:rPr>
        <w:t xml:space="preserve"> é rara a incidência de laboratórios de P&amp;D, ainda que atividades ino</w:t>
      </w:r>
      <w:r>
        <w:rPr>
          <w:bCs/>
        </w:rPr>
        <w:t xml:space="preserve">vadoras sejam </w:t>
      </w:r>
      <w:r w:rsidRPr="008805A1">
        <w:rPr>
          <w:bCs/>
        </w:rPr>
        <w:t xml:space="preserve">realizadas </w:t>
      </w:r>
      <w:r w:rsidR="007C053F" w:rsidRPr="008805A1">
        <w:rPr>
          <w:bCs/>
        </w:rPr>
        <w:t>[</w:t>
      </w:r>
      <w:r w:rsidRPr="008805A1">
        <w:rPr>
          <w:bCs/>
        </w:rPr>
        <w:t xml:space="preserve">Bell </w:t>
      </w:r>
      <w:r w:rsidR="007C053F" w:rsidRPr="008805A1">
        <w:rPr>
          <w:bCs/>
        </w:rPr>
        <w:t xml:space="preserve">&amp; </w:t>
      </w:r>
      <w:r w:rsidRPr="008805A1">
        <w:rPr>
          <w:bCs/>
        </w:rPr>
        <w:t>Figueiredo</w:t>
      </w:r>
      <w:r w:rsidR="007C053F" w:rsidRPr="008805A1">
        <w:rPr>
          <w:bCs/>
        </w:rPr>
        <w:t xml:space="preserve"> (</w:t>
      </w:r>
      <w:r w:rsidRPr="008805A1">
        <w:rPr>
          <w:bCs/>
        </w:rPr>
        <w:t>2012)</w:t>
      </w:r>
      <w:r w:rsidR="007C053F" w:rsidRPr="008805A1">
        <w:rPr>
          <w:bCs/>
        </w:rPr>
        <w:t>]</w:t>
      </w:r>
      <w:r w:rsidRPr="008805A1">
        <w:rPr>
          <w:bCs/>
        </w:rPr>
        <w:t>. De</w:t>
      </w:r>
      <w:r w:rsidRPr="00600051">
        <w:rPr>
          <w:bCs/>
        </w:rPr>
        <w:t xml:space="preserve"> fato, grande parte das inovações mais importantes</w:t>
      </w:r>
      <w:r>
        <w:rPr>
          <w:bCs/>
        </w:rPr>
        <w:t>, mesmo nos países desenvolvidos, tiveram</w:t>
      </w:r>
      <w:r w:rsidRPr="00600051">
        <w:rPr>
          <w:bCs/>
        </w:rPr>
        <w:t xml:space="preserve"> origem em recombinações de tecnologias existentes. Essas recombinações foram realizadas por engenheiros e técnicos especializados em áreas diversas que não o laboratório de P&amp;D, inclusive no </w:t>
      </w:r>
      <w:r>
        <w:rPr>
          <w:bCs/>
        </w:rPr>
        <w:t xml:space="preserve">chão </w:t>
      </w:r>
      <w:r w:rsidRPr="00600051">
        <w:rPr>
          <w:bCs/>
        </w:rPr>
        <w:t>de fábrica.</w:t>
      </w:r>
      <w:r>
        <w:rPr>
          <w:bCs/>
        </w:rPr>
        <w:t xml:space="preserve"> E</w:t>
      </w:r>
      <w:r w:rsidRPr="00600051">
        <w:rPr>
          <w:bCs/>
        </w:rPr>
        <w:t xml:space="preserve">m muitos casos, essas atividades de inovação </w:t>
      </w:r>
      <w:r>
        <w:rPr>
          <w:bCs/>
        </w:rPr>
        <w:t xml:space="preserve">menos sofisticadas </w:t>
      </w:r>
      <w:r w:rsidR="007C053F">
        <w:rPr>
          <w:bCs/>
        </w:rPr>
        <w:t xml:space="preserve">geram ganhos expressivos de produtividade e, além disso, </w:t>
      </w:r>
      <w:r w:rsidRPr="00600051">
        <w:rPr>
          <w:bCs/>
        </w:rPr>
        <w:t xml:space="preserve">podem ser </w:t>
      </w:r>
      <w:r>
        <w:rPr>
          <w:bCs/>
        </w:rPr>
        <w:t xml:space="preserve">um ponto de partida </w:t>
      </w:r>
      <w:r w:rsidRPr="00600051">
        <w:rPr>
          <w:bCs/>
        </w:rPr>
        <w:t xml:space="preserve">para avanços </w:t>
      </w:r>
      <w:r>
        <w:rPr>
          <w:bCs/>
        </w:rPr>
        <w:t xml:space="preserve">na direção de </w:t>
      </w:r>
      <w:r w:rsidRPr="00600051">
        <w:rPr>
          <w:bCs/>
        </w:rPr>
        <w:t xml:space="preserve">atividades </w:t>
      </w:r>
      <w:r w:rsidR="007C053F">
        <w:rPr>
          <w:bCs/>
        </w:rPr>
        <w:t xml:space="preserve">mais sofisticadas </w:t>
      </w:r>
      <w:r w:rsidRPr="00600051">
        <w:rPr>
          <w:bCs/>
        </w:rPr>
        <w:t>de P&amp;D.</w:t>
      </w:r>
    </w:p>
    <w:p w14:paraId="4AAB6558" w14:textId="77777777" w:rsidR="00E00C34" w:rsidRPr="00E00C34" w:rsidRDefault="00082D46" w:rsidP="00E00C34">
      <w:pPr>
        <w:pStyle w:val="Recuodecorpodetexto"/>
        <w:spacing w:after="240"/>
        <w:ind w:left="0"/>
        <w:jc w:val="both"/>
      </w:pPr>
      <w:r>
        <w:rPr>
          <w:bCs/>
        </w:rPr>
        <w:t>E no Brasil não é diferente: co</w:t>
      </w:r>
      <w:r w:rsidRPr="009D50F0">
        <w:rPr>
          <w:bCs/>
        </w:rPr>
        <w:t xml:space="preserve">existem </w:t>
      </w:r>
      <w:r>
        <w:rPr>
          <w:bCs/>
        </w:rPr>
        <w:t xml:space="preserve">poucas </w:t>
      </w:r>
      <w:r w:rsidRPr="009D50F0">
        <w:rPr>
          <w:bCs/>
        </w:rPr>
        <w:t xml:space="preserve">empresas inovadoras </w:t>
      </w:r>
      <w:r>
        <w:rPr>
          <w:bCs/>
        </w:rPr>
        <w:t xml:space="preserve">mais intensivas </w:t>
      </w:r>
      <w:r w:rsidRPr="009D50F0">
        <w:rPr>
          <w:bCs/>
        </w:rPr>
        <w:t xml:space="preserve">em atividades de P&amp;D e </w:t>
      </w:r>
      <w:r>
        <w:rPr>
          <w:bCs/>
        </w:rPr>
        <w:t xml:space="preserve">outras, mais numerosas, </w:t>
      </w:r>
      <w:r w:rsidRPr="009D50F0">
        <w:rPr>
          <w:bCs/>
        </w:rPr>
        <w:t>que inovam pela transformação de tecnologias já existentes</w:t>
      </w:r>
      <w:r w:rsidR="00DD53B2">
        <w:rPr>
          <w:bCs/>
        </w:rPr>
        <w:t>.</w:t>
      </w:r>
      <w:r w:rsidRPr="009D50F0">
        <w:rPr>
          <w:bCs/>
        </w:rPr>
        <w:t xml:space="preserve"> A evidência para o Brasil também mostra que</w:t>
      </w:r>
      <w:r>
        <w:rPr>
          <w:bCs/>
        </w:rPr>
        <w:t xml:space="preserve"> </w:t>
      </w:r>
      <w:r w:rsidRPr="009D50F0">
        <w:rPr>
          <w:bCs/>
        </w:rPr>
        <w:t>setores mais intensivos em P&amp;D usualmente são mais inovadores</w:t>
      </w:r>
      <w:r w:rsidR="007C053F">
        <w:rPr>
          <w:bCs/>
        </w:rPr>
        <w:t xml:space="preserve">, mas que </w:t>
      </w:r>
      <w:r w:rsidRPr="009D50F0">
        <w:rPr>
          <w:bCs/>
        </w:rPr>
        <w:t>há setores normalmente considerados de baixa ou média intensidade tecnológica que possuem alta incidência de inovação.</w:t>
      </w:r>
    </w:p>
    <w:p w14:paraId="2C5BB736" w14:textId="77777777" w:rsidR="00E00C34" w:rsidRDefault="00401721" w:rsidP="00E00C34">
      <w:pPr>
        <w:pStyle w:val="BNDES"/>
        <w:spacing w:after="240"/>
        <w:rPr>
          <w:b/>
          <w:bCs/>
        </w:rPr>
      </w:pPr>
      <w:r>
        <w:rPr>
          <w:b/>
          <w:bCs/>
        </w:rPr>
        <w:t>Como estamos no</w:t>
      </w:r>
      <w:r w:rsidR="00E00C34">
        <w:rPr>
          <w:b/>
          <w:bCs/>
        </w:rPr>
        <w:t xml:space="preserve"> </w:t>
      </w:r>
      <w:r>
        <w:rPr>
          <w:b/>
          <w:bCs/>
        </w:rPr>
        <w:t xml:space="preserve">que diz </w:t>
      </w:r>
      <w:r w:rsidR="00E00C34">
        <w:rPr>
          <w:b/>
          <w:bCs/>
        </w:rPr>
        <w:t xml:space="preserve">respeito </w:t>
      </w:r>
      <w:r>
        <w:rPr>
          <w:b/>
          <w:bCs/>
        </w:rPr>
        <w:t xml:space="preserve">à </w:t>
      </w:r>
      <w:r w:rsidR="00E00C34">
        <w:rPr>
          <w:b/>
          <w:bCs/>
        </w:rPr>
        <w:t>inovação?</w:t>
      </w:r>
    </w:p>
    <w:p w14:paraId="55906F14" w14:textId="0802E8A7" w:rsidR="003D6CC3" w:rsidRDefault="003D6CC3" w:rsidP="00E00C34">
      <w:pPr>
        <w:pStyle w:val="BNDES"/>
        <w:spacing w:after="240"/>
      </w:pPr>
      <w:r>
        <w:t xml:space="preserve">É praticamente consensual que o desempenho brasileiro em termos de inovação está aquém das necessidades </w:t>
      </w:r>
      <w:r w:rsidR="0098399D">
        <w:t xml:space="preserve">do </w:t>
      </w:r>
      <w:r>
        <w:t xml:space="preserve">país. Principalmente no que diz respeito ao investimento </w:t>
      </w:r>
      <w:r w:rsidR="0098399D">
        <w:t xml:space="preserve">privado </w:t>
      </w:r>
      <w:r>
        <w:t xml:space="preserve">em inovação. </w:t>
      </w:r>
      <w:r w:rsidR="00575938" w:rsidRPr="00575938">
        <w:t>Baseado neste diagnóstico</w:t>
      </w:r>
      <w:r w:rsidR="002D2C9C" w:rsidRPr="00575938">
        <w:t xml:space="preserve">, a partir da segunda metade dos anos 2000, o governo aumentou consideravelmente o volume de recursos, o alcance e a variedade de </w:t>
      </w:r>
      <w:r w:rsidR="00575938" w:rsidRPr="00575938">
        <w:t>ferramentas de apoio à inovação no âmbito das empresas [</w:t>
      </w:r>
      <w:r w:rsidR="00C75C29" w:rsidRPr="00575938">
        <w:t>Canêdo-Pinheiro &amp; Figueiredo (2017)</w:t>
      </w:r>
      <w:r w:rsidR="00575938" w:rsidRPr="00575938">
        <w:t xml:space="preserve">]. </w:t>
      </w:r>
    </w:p>
    <w:p w14:paraId="210231A7" w14:textId="77777777" w:rsidR="00C75C29" w:rsidRPr="00C75C29" w:rsidRDefault="00C75C29" w:rsidP="003C2901">
      <w:pPr>
        <w:pStyle w:val="BNDES"/>
        <w:spacing w:after="120"/>
        <w:jc w:val="center"/>
        <w:rPr>
          <w:b/>
          <w:bCs/>
        </w:rPr>
      </w:pPr>
      <w:r w:rsidRPr="00C75C29">
        <w:rPr>
          <w:b/>
          <w:bCs/>
        </w:rPr>
        <w:t>Tabela 1:</w:t>
      </w:r>
      <w:r>
        <w:rPr>
          <w:b/>
          <w:bCs/>
        </w:rPr>
        <w:t xml:space="preserve"> Inovação no Brasil – Algumas Estatísticas </w:t>
      </w:r>
      <w:r w:rsidR="00FD0F25">
        <w:rPr>
          <w:b/>
          <w:bCs/>
        </w:rPr>
        <w:t>(% do Total de Empresas)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2268"/>
        <w:gridCol w:w="2126"/>
        <w:gridCol w:w="2268"/>
      </w:tblGrid>
      <w:tr w:rsidR="003C2901" w:rsidRPr="003C2901" w14:paraId="2E322297" w14:textId="77777777" w:rsidTr="007502AB">
        <w:tc>
          <w:tcPr>
            <w:tcW w:w="851" w:type="dxa"/>
            <w:tcBorders>
              <w:top w:val="single" w:sz="4" w:space="0" w:color="auto"/>
              <w:bottom w:val="single" w:sz="4" w:space="0" w:color="auto"/>
            </w:tcBorders>
            <w:vAlign w:val="center"/>
          </w:tcPr>
          <w:p w14:paraId="6C378FE8" w14:textId="77777777" w:rsidR="003C2901" w:rsidRPr="003C2901" w:rsidRDefault="003C2901" w:rsidP="003C2901">
            <w:pPr>
              <w:pStyle w:val="BNDES"/>
              <w:spacing w:before="60" w:after="60"/>
              <w:rPr>
                <w:b/>
                <w:bCs/>
              </w:rPr>
            </w:pPr>
          </w:p>
        </w:tc>
        <w:tc>
          <w:tcPr>
            <w:tcW w:w="1701" w:type="dxa"/>
            <w:tcBorders>
              <w:top w:val="single" w:sz="4" w:space="0" w:color="auto"/>
              <w:bottom w:val="single" w:sz="4" w:space="0" w:color="auto"/>
            </w:tcBorders>
            <w:vAlign w:val="center"/>
          </w:tcPr>
          <w:p w14:paraId="2A98B8FC" w14:textId="77777777" w:rsidR="003C2901" w:rsidRPr="007502AB" w:rsidRDefault="003C2901" w:rsidP="003C2901">
            <w:pPr>
              <w:pStyle w:val="BNDES"/>
              <w:spacing w:before="60" w:after="60"/>
              <w:jc w:val="center"/>
              <w:rPr>
                <w:b/>
                <w:bCs/>
                <w:sz w:val="18"/>
                <w:szCs w:val="18"/>
              </w:rPr>
            </w:pPr>
            <w:r w:rsidRPr="007502AB">
              <w:rPr>
                <w:b/>
                <w:bCs/>
                <w:sz w:val="18"/>
                <w:szCs w:val="18"/>
              </w:rPr>
              <w:t>Inovadoras</w:t>
            </w:r>
          </w:p>
        </w:tc>
        <w:tc>
          <w:tcPr>
            <w:tcW w:w="2268" w:type="dxa"/>
            <w:tcBorders>
              <w:top w:val="single" w:sz="4" w:space="0" w:color="auto"/>
              <w:bottom w:val="single" w:sz="4" w:space="0" w:color="auto"/>
            </w:tcBorders>
            <w:vAlign w:val="center"/>
          </w:tcPr>
          <w:p w14:paraId="3FFD5F35" w14:textId="77777777" w:rsidR="003C2901" w:rsidRPr="007502AB" w:rsidRDefault="00FD0F25" w:rsidP="003C2901">
            <w:pPr>
              <w:pStyle w:val="BNDES"/>
              <w:spacing w:before="60" w:after="60"/>
              <w:jc w:val="center"/>
              <w:rPr>
                <w:b/>
                <w:bCs/>
                <w:sz w:val="18"/>
                <w:szCs w:val="18"/>
              </w:rPr>
            </w:pPr>
            <w:r w:rsidRPr="007502AB">
              <w:rPr>
                <w:b/>
                <w:bCs/>
                <w:sz w:val="18"/>
                <w:szCs w:val="18"/>
              </w:rPr>
              <w:t xml:space="preserve">Receberam </w:t>
            </w:r>
            <w:r w:rsidR="0008395E" w:rsidRPr="007502AB">
              <w:rPr>
                <w:b/>
                <w:bCs/>
                <w:sz w:val="18"/>
                <w:szCs w:val="18"/>
              </w:rPr>
              <w:t>Apoi</w:t>
            </w:r>
            <w:r w:rsidRPr="007502AB">
              <w:rPr>
                <w:b/>
                <w:bCs/>
                <w:sz w:val="18"/>
                <w:szCs w:val="18"/>
              </w:rPr>
              <w:t>o do Governo para Inovar</w:t>
            </w:r>
          </w:p>
        </w:tc>
        <w:tc>
          <w:tcPr>
            <w:tcW w:w="2126" w:type="dxa"/>
            <w:tcBorders>
              <w:top w:val="single" w:sz="4" w:space="0" w:color="auto"/>
              <w:bottom w:val="single" w:sz="4" w:space="0" w:color="auto"/>
            </w:tcBorders>
            <w:vAlign w:val="center"/>
          </w:tcPr>
          <w:p w14:paraId="763A4EEA" w14:textId="77777777" w:rsidR="003C2901" w:rsidRPr="007502AB" w:rsidRDefault="00FD0F25" w:rsidP="003C2901">
            <w:pPr>
              <w:pStyle w:val="BNDES"/>
              <w:spacing w:before="60" w:after="60"/>
              <w:jc w:val="center"/>
              <w:rPr>
                <w:b/>
                <w:bCs/>
                <w:sz w:val="18"/>
                <w:szCs w:val="18"/>
              </w:rPr>
            </w:pPr>
            <w:r w:rsidRPr="007502AB">
              <w:rPr>
                <w:b/>
                <w:bCs/>
                <w:sz w:val="18"/>
                <w:szCs w:val="18"/>
              </w:rPr>
              <w:t>Enfrentaram Escassez Pessoal Qualificado</w:t>
            </w:r>
          </w:p>
        </w:tc>
        <w:tc>
          <w:tcPr>
            <w:tcW w:w="2268" w:type="dxa"/>
            <w:tcBorders>
              <w:top w:val="single" w:sz="4" w:space="0" w:color="auto"/>
              <w:bottom w:val="single" w:sz="4" w:space="0" w:color="auto"/>
            </w:tcBorders>
            <w:vAlign w:val="center"/>
          </w:tcPr>
          <w:p w14:paraId="35F25EF8" w14:textId="77777777" w:rsidR="003C2901" w:rsidRPr="007502AB" w:rsidRDefault="00FD0F25" w:rsidP="003C2901">
            <w:pPr>
              <w:pStyle w:val="BNDES"/>
              <w:spacing w:before="60" w:after="60"/>
              <w:jc w:val="center"/>
              <w:rPr>
                <w:b/>
                <w:bCs/>
                <w:sz w:val="18"/>
                <w:szCs w:val="18"/>
              </w:rPr>
            </w:pPr>
            <w:r w:rsidRPr="007502AB">
              <w:rPr>
                <w:b/>
                <w:bCs/>
                <w:sz w:val="18"/>
                <w:szCs w:val="18"/>
              </w:rPr>
              <w:t>Enfrentaram Escassez de Financiamento para Inovação</w:t>
            </w:r>
          </w:p>
        </w:tc>
      </w:tr>
      <w:tr w:rsidR="00FD0F25" w14:paraId="1007A153" w14:textId="77777777" w:rsidTr="007502AB">
        <w:tc>
          <w:tcPr>
            <w:tcW w:w="851" w:type="dxa"/>
            <w:tcBorders>
              <w:top w:val="single" w:sz="4" w:space="0" w:color="auto"/>
            </w:tcBorders>
            <w:vAlign w:val="center"/>
          </w:tcPr>
          <w:p w14:paraId="5465D42B" w14:textId="77777777" w:rsidR="00FD0F25" w:rsidRDefault="00FD0F25" w:rsidP="00FD0F25">
            <w:pPr>
              <w:pStyle w:val="BNDES"/>
              <w:spacing w:before="60" w:after="60"/>
            </w:pPr>
            <w:r>
              <w:t>2000</w:t>
            </w:r>
          </w:p>
        </w:tc>
        <w:tc>
          <w:tcPr>
            <w:tcW w:w="1701" w:type="dxa"/>
            <w:tcBorders>
              <w:top w:val="single" w:sz="4" w:space="0" w:color="auto"/>
            </w:tcBorders>
            <w:vAlign w:val="center"/>
          </w:tcPr>
          <w:p w14:paraId="6189633D" w14:textId="77777777" w:rsidR="00FD0F25" w:rsidRPr="00FD0F25" w:rsidRDefault="00D22305" w:rsidP="00D22305">
            <w:pPr>
              <w:jc w:val="center"/>
              <w:rPr>
                <w:color w:val="000000"/>
              </w:rPr>
            </w:pPr>
            <w:r>
              <w:rPr>
                <w:color w:val="000000"/>
              </w:rPr>
              <w:t>31,9</w:t>
            </w:r>
            <w:r w:rsidR="00FD0F25" w:rsidRPr="00FD0F25">
              <w:rPr>
                <w:color w:val="000000"/>
              </w:rPr>
              <w:t>%</w:t>
            </w:r>
          </w:p>
        </w:tc>
        <w:tc>
          <w:tcPr>
            <w:tcW w:w="2268" w:type="dxa"/>
            <w:tcBorders>
              <w:top w:val="single" w:sz="4" w:space="0" w:color="auto"/>
            </w:tcBorders>
            <w:vAlign w:val="center"/>
          </w:tcPr>
          <w:p w14:paraId="6EB11165" w14:textId="77777777" w:rsidR="00FD0F25" w:rsidRPr="00FD0F25" w:rsidRDefault="00FD0F25" w:rsidP="00FD0F25">
            <w:pPr>
              <w:jc w:val="center"/>
              <w:rPr>
                <w:color w:val="000000"/>
              </w:rPr>
            </w:pPr>
            <w:r w:rsidRPr="00FD0F25">
              <w:rPr>
                <w:color w:val="000000"/>
              </w:rPr>
              <w:t>5,3%</w:t>
            </w:r>
          </w:p>
        </w:tc>
        <w:tc>
          <w:tcPr>
            <w:tcW w:w="2126" w:type="dxa"/>
            <w:tcBorders>
              <w:top w:val="single" w:sz="4" w:space="0" w:color="auto"/>
            </w:tcBorders>
            <w:vAlign w:val="center"/>
          </w:tcPr>
          <w:p w14:paraId="19F541A9" w14:textId="77777777" w:rsidR="00FD0F25" w:rsidRPr="00FD0F25" w:rsidRDefault="00FD0F25" w:rsidP="00FD0F25">
            <w:pPr>
              <w:jc w:val="center"/>
              <w:rPr>
                <w:color w:val="000000"/>
              </w:rPr>
            </w:pPr>
            <w:r w:rsidRPr="00FD0F25">
              <w:rPr>
                <w:color w:val="000000"/>
              </w:rPr>
              <w:t>3,4%</w:t>
            </w:r>
          </w:p>
        </w:tc>
        <w:tc>
          <w:tcPr>
            <w:tcW w:w="2268" w:type="dxa"/>
            <w:tcBorders>
              <w:top w:val="single" w:sz="4" w:space="0" w:color="auto"/>
            </w:tcBorders>
            <w:vAlign w:val="center"/>
          </w:tcPr>
          <w:p w14:paraId="70E4AE82" w14:textId="77777777" w:rsidR="00FD0F25" w:rsidRPr="00FD0F25" w:rsidRDefault="00FD0F25" w:rsidP="00FD0F25">
            <w:pPr>
              <w:jc w:val="center"/>
              <w:rPr>
                <w:color w:val="000000"/>
              </w:rPr>
            </w:pPr>
            <w:r w:rsidRPr="00FD0F25">
              <w:rPr>
                <w:color w:val="000000"/>
              </w:rPr>
              <w:t>9,4%</w:t>
            </w:r>
          </w:p>
        </w:tc>
      </w:tr>
      <w:tr w:rsidR="00FD0F25" w14:paraId="74755ADA" w14:textId="77777777" w:rsidTr="007502AB">
        <w:tc>
          <w:tcPr>
            <w:tcW w:w="851" w:type="dxa"/>
            <w:vAlign w:val="center"/>
          </w:tcPr>
          <w:p w14:paraId="0FC49671" w14:textId="77777777" w:rsidR="00FD0F25" w:rsidRDefault="00FD0F25" w:rsidP="00FD0F25">
            <w:pPr>
              <w:pStyle w:val="BNDES"/>
              <w:spacing w:before="60" w:after="60"/>
            </w:pPr>
            <w:r>
              <w:t>2003</w:t>
            </w:r>
          </w:p>
        </w:tc>
        <w:tc>
          <w:tcPr>
            <w:tcW w:w="1701" w:type="dxa"/>
            <w:vAlign w:val="center"/>
          </w:tcPr>
          <w:p w14:paraId="03CC23C1" w14:textId="77777777" w:rsidR="00FD0F25" w:rsidRPr="00FD0F25" w:rsidRDefault="00FD0F25" w:rsidP="00FD0F25">
            <w:pPr>
              <w:jc w:val="center"/>
              <w:rPr>
                <w:color w:val="000000"/>
              </w:rPr>
            </w:pPr>
            <w:r w:rsidRPr="00FD0F25">
              <w:rPr>
                <w:color w:val="000000"/>
              </w:rPr>
              <w:t>33,5%</w:t>
            </w:r>
          </w:p>
        </w:tc>
        <w:tc>
          <w:tcPr>
            <w:tcW w:w="2268" w:type="dxa"/>
            <w:vAlign w:val="center"/>
          </w:tcPr>
          <w:p w14:paraId="49844727" w14:textId="77777777" w:rsidR="00FD0F25" w:rsidRPr="00FD0F25" w:rsidRDefault="00FD0F25" w:rsidP="00FD0F25">
            <w:pPr>
              <w:jc w:val="center"/>
              <w:rPr>
                <w:color w:val="000000"/>
              </w:rPr>
            </w:pPr>
            <w:r w:rsidRPr="00FD0F25">
              <w:rPr>
                <w:color w:val="000000"/>
              </w:rPr>
              <w:t>6,3%</w:t>
            </w:r>
          </w:p>
        </w:tc>
        <w:tc>
          <w:tcPr>
            <w:tcW w:w="2126" w:type="dxa"/>
            <w:vAlign w:val="center"/>
          </w:tcPr>
          <w:p w14:paraId="72AA8B2A" w14:textId="77777777" w:rsidR="00FD0F25" w:rsidRPr="00FD0F25" w:rsidRDefault="00FD0F25" w:rsidP="00FD0F25">
            <w:pPr>
              <w:jc w:val="center"/>
              <w:rPr>
                <w:color w:val="000000"/>
              </w:rPr>
            </w:pPr>
            <w:r w:rsidRPr="00FD0F25">
              <w:rPr>
                <w:color w:val="000000"/>
              </w:rPr>
              <w:t>2,9%</w:t>
            </w:r>
          </w:p>
        </w:tc>
        <w:tc>
          <w:tcPr>
            <w:tcW w:w="2268" w:type="dxa"/>
            <w:vAlign w:val="center"/>
          </w:tcPr>
          <w:p w14:paraId="13A9CEF5" w14:textId="77777777" w:rsidR="00FD0F25" w:rsidRPr="00FD0F25" w:rsidRDefault="00FD0F25" w:rsidP="00FD0F25">
            <w:pPr>
              <w:jc w:val="center"/>
              <w:rPr>
                <w:color w:val="000000"/>
              </w:rPr>
            </w:pPr>
            <w:r w:rsidRPr="00FD0F25">
              <w:rPr>
                <w:color w:val="000000"/>
              </w:rPr>
              <w:t>7,0%</w:t>
            </w:r>
          </w:p>
        </w:tc>
      </w:tr>
      <w:tr w:rsidR="00FD0F25" w14:paraId="79E7FD24" w14:textId="77777777" w:rsidTr="007502AB">
        <w:tc>
          <w:tcPr>
            <w:tcW w:w="851" w:type="dxa"/>
            <w:vAlign w:val="center"/>
          </w:tcPr>
          <w:p w14:paraId="552B52D5" w14:textId="77777777" w:rsidR="00FD0F25" w:rsidRDefault="00FD0F25" w:rsidP="00FD0F25">
            <w:pPr>
              <w:pStyle w:val="BNDES"/>
              <w:spacing w:before="60" w:after="60"/>
            </w:pPr>
            <w:r>
              <w:t>2005</w:t>
            </w:r>
          </w:p>
        </w:tc>
        <w:tc>
          <w:tcPr>
            <w:tcW w:w="1701" w:type="dxa"/>
            <w:vAlign w:val="center"/>
          </w:tcPr>
          <w:p w14:paraId="7A15961C" w14:textId="77777777" w:rsidR="00FD0F25" w:rsidRPr="00FD0F25" w:rsidRDefault="00FD0F25" w:rsidP="00FD0F25">
            <w:pPr>
              <w:jc w:val="center"/>
              <w:rPr>
                <w:color w:val="000000"/>
              </w:rPr>
            </w:pPr>
            <w:r w:rsidRPr="00FD0F25">
              <w:rPr>
                <w:color w:val="000000"/>
              </w:rPr>
              <w:t>33,6%</w:t>
            </w:r>
          </w:p>
        </w:tc>
        <w:tc>
          <w:tcPr>
            <w:tcW w:w="2268" w:type="dxa"/>
            <w:vAlign w:val="center"/>
          </w:tcPr>
          <w:p w14:paraId="292C9D1F" w14:textId="77777777" w:rsidR="00FD0F25" w:rsidRPr="00FD0F25" w:rsidRDefault="00FD0F25" w:rsidP="00FD0F25">
            <w:pPr>
              <w:jc w:val="center"/>
              <w:rPr>
                <w:color w:val="000000"/>
              </w:rPr>
            </w:pPr>
            <w:r w:rsidRPr="00FD0F25">
              <w:rPr>
                <w:color w:val="000000"/>
              </w:rPr>
              <w:t>6,4%</w:t>
            </w:r>
          </w:p>
        </w:tc>
        <w:tc>
          <w:tcPr>
            <w:tcW w:w="2126" w:type="dxa"/>
            <w:vAlign w:val="center"/>
          </w:tcPr>
          <w:p w14:paraId="2F9465EF" w14:textId="77777777" w:rsidR="00FD0F25" w:rsidRPr="00FD0F25" w:rsidRDefault="00FD0F25" w:rsidP="00FD0F25">
            <w:pPr>
              <w:jc w:val="center"/>
              <w:rPr>
                <w:color w:val="000000"/>
              </w:rPr>
            </w:pPr>
            <w:r w:rsidRPr="00FD0F25">
              <w:rPr>
                <w:color w:val="000000"/>
              </w:rPr>
              <w:t>1,9%</w:t>
            </w:r>
          </w:p>
        </w:tc>
        <w:tc>
          <w:tcPr>
            <w:tcW w:w="2268" w:type="dxa"/>
            <w:vAlign w:val="center"/>
          </w:tcPr>
          <w:p w14:paraId="6B175A16" w14:textId="77777777" w:rsidR="00FD0F25" w:rsidRPr="00FD0F25" w:rsidRDefault="00FD0F25" w:rsidP="00FD0F25">
            <w:pPr>
              <w:jc w:val="center"/>
              <w:rPr>
                <w:color w:val="000000"/>
              </w:rPr>
            </w:pPr>
            <w:r w:rsidRPr="00FD0F25">
              <w:rPr>
                <w:color w:val="000000"/>
              </w:rPr>
              <w:t>6,2%</w:t>
            </w:r>
          </w:p>
        </w:tc>
      </w:tr>
      <w:tr w:rsidR="00FD0F25" w14:paraId="0DE2133F" w14:textId="77777777" w:rsidTr="007502AB">
        <w:tc>
          <w:tcPr>
            <w:tcW w:w="851" w:type="dxa"/>
            <w:vAlign w:val="center"/>
          </w:tcPr>
          <w:p w14:paraId="53E757B8" w14:textId="77777777" w:rsidR="00FD0F25" w:rsidRDefault="00FD0F25" w:rsidP="00FD0F25">
            <w:pPr>
              <w:pStyle w:val="BNDES"/>
              <w:spacing w:before="60" w:after="60"/>
            </w:pPr>
            <w:r>
              <w:t>2008</w:t>
            </w:r>
          </w:p>
        </w:tc>
        <w:tc>
          <w:tcPr>
            <w:tcW w:w="1701" w:type="dxa"/>
            <w:vAlign w:val="center"/>
          </w:tcPr>
          <w:p w14:paraId="6D1D219B" w14:textId="77777777" w:rsidR="00FD0F25" w:rsidRPr="00FD0F25" w:rsidRDefault="00FD0F25" w:rsidP="00FD0F25">
            <w:pPr>
              <w:jc w:val="center"/>
              <w:rPr>
                <w:color w:val="000000"/>
              </w:rPr>
            </w:pPr>
            <w:r w:rsidRPr="00FD0F25">
              <w:rPr>
                <w:color w:val="000000"/>
              </w:rPr>
              <w:t>38,4%</w:t>
            </w:r>
          </w:p>
        </w:tc>
        <w:tc>
          <w:tcPr>
            <w:tcW w:w="2268" w:type="dxa"/>
            <w:vAlign w:val="center"/>
          </w:tcPr>
          <w:p w14:paraId="119F2981" w14:textId="77777777" w:rsidR="00FD0F25" w:rsidRPr="00FD0F25" w:rsidRDefault="00FD0F25" w:rsidP="00FD0F25">
            <w:pPr>
              <w:jc w:val="center"/>
              <w:rPr>
                <w:color w:val="000000"/>
              </w:rPr>
            </w:pPr>
            <w:r w:rsidRPr="00FD0F25">
              <w:rPr>
                <w:color w:val="000000"/>
              </w:rPr>
              <w:t>8,8%</w:t>
            </w:r>
          </w:p>
        </w:tc>
        <w:tc>
          <w:tcPr>
            <w:tcW w:w="2126" w:type="dxa"/>
            <w:vAlign w:val="center"/>
          </w:tcPr>
          <w:p w14:paraId="2207E673" w14:textId="77777777" w:rsidR="00FD0F25" w:rsidRPr="00FD0F25" w:rsidRDefault="00FD0F25" w:rsidP="00FD0F25">
            <w:pPr>
              <w:jc w:val="center"/>
              <w:rPr>
                <w:color w:val="000000"/>
              </w:rPr>
            </w:pPr>
            <w:r w:rsidRPr="00FD0F25">
              <w:rPr>
                <w:color w:val="000000"/>
              </w:rPr>
              <w:t>3,4%</w:t>
            </w:r>
          </w:p>
        </w:tc>
        <w:tc>
          <w:tcPr>
            <w:tcW w:w="2268" w:type="dxa"/>
            <w:vAlign w:val="center"/>
          </w:tcPr>
          <w:p w14:paraId="2420802D" w14:textId="77777777" w:rsidR="00FD0F25" w:rsidRPr="00FD0F25" w:rsidRDefault="00FD0F25" w:rsidP="00FD0F25">
            <w:pPr>
              <w:jc w:val="center"/>
              <w:rPr>
                <w:color w:val="000000"/>
              </w:rPr>
            </w:pPr>
            <w:r w:rsidRPr="00FD0F25">
              <w:rPr>
                <w:color w:val="000000"/>
              </w:rPr>
              <w:t>6,8%</w:t>
            </w:r>
          </w:p>
        </w:tc>
      </w:tr>
      <w:tr w:rsidR="00FD0F25" w14:paraId="5024DABD" w14:textId="77777777" w:rsidTr="007502AB">
        <w:tc>
          <w:tcPr>
            <w:tcW w:w="851" w:type="dxa"/>
            <w:vAlign w:val="center"/>
          </w:tcPr>
          <w:p w14:paraId="350903A5" w14:textId="77777777" w:rsidR="00FD0F25" w:rsidRDefault="00FD0F25" w:rsidP="00FD0F25">
            <w:pPr>
              <w:pStyle w:val="BNDES"/>
              <w:spacing w:before="60" w:after="60"/>
            </w:pPr>
            <w:r>
              <w:t>2011</w:t>
            </w:r>
          </w:p>
        </w:tc>
        <w:tc>
          <w:tcPr>
            <w:tcW w:w="1701" w:type="dxa"/>
            <w:vAlign w:val="center"/>
          </w:tcPr>
          <w:p w14:paraId="35DDADC7" w14:textId="77777777" w:rsidR="00FD0F25" w:rsidRPr="00FD0F25" w:rsidRDefault="00FD0F25" w:rsidP="00FD0F25">
            <w:pPr>
              <w:jc w:val="center"/>
              <w:rPr>
                <w:color w:val="000000"/>
              </w:rPr>
            </w:pPr>
            <w:r w:rsidRPr="00FD0F25">
              <w:rPr>
                <w:color w:val="000000"/>
              </w:rPr>
              <w:t>35,9%</w:t>
            </w:r>
          </w:p>
        </w:tc>
        <w:tc>
          <w:tcPr>
            <w:tcW w:w="2268" w:type="dxa"/>
            <w:vAlign w:val="center"/>
          </w:tcPr>
          <w:p w14:paraId="14608728" w14:textId="77777777" w:rsidR="00FD0F25" w:rsidRPr="00FD0F25" w:rsidRDefault="00FD0F25" w:rsidP="00FD0F25">
            <w:pPr>
              <w:jc w:val="center"/>
              <w:rPr>
                <w:color w:val="000000"/>
              </w:rPr>
            </w:pPr>
            <w:r w:rsidRPr="00FD0F25">
              <w:rPr>
                <w:color w:val="000000"/>
              </w:rPr>
              <w:t>12,4%</w:t>
            </w:r>
          </w:p>
        </w:tc>
        <w:tc>
          <w:tcPr>
            <w:tcW w:w="2126" w:type="dxa"/>
            <w:vAlign w:val="center"/>
          </w:tcPr>
          <w:p w14:paraId="562DD788" w14:textId="77777777" w:rsidR="00FD0F25" w:rsidRPr="00FD0F25" w:rsidRDefault="00FD0F25" w:rsidP="00FD0F25">
            <w:pPr>
              <w:jc w:val="center"/>
              <w:rPr>
                <w:color w:val="000000"/>
              </w:rPr>
            </w:pPr>
            <w:r w:rsidRPr="00FD0F25">
              <w:rPr>
                <w:color w:val="000000"/>
              </w:rPr>
              <w:t>5,2%</w:t>
            </w:r>
          </w:p>
        </w:tc>
        <w:tc>
          <w:tcPr>
            <w:tcW w:w="2268" w:type="dxa"/>
            <w:vAlign w:val="center"/>
          </w:tcPr>
          <w:p w14:paraId="37B2599E" w14:textId="77777777" w:rsidR="00FD0F25" w:rsidRPr="00FD0F25" w:rsidRDefault="00FD0F25" w:rsidP="00FD0F25">
            <w:pPr>
              <w:jc w:val="center"/>
              <w:rPr>
                <w:color w:val="000000"/>
              </w:rPr>
            </w:pPr>
            <w:r w:rsidRPr="00FD0F25">
              <w:rPr>
                <w:color w:val="000000"/>
              </w:rPr>
              <w:t>4,9%</w:t>
            </w:r>
          </w:p>
        </w:tc>
      </w:tr>
      <w:tr w:rsidR="00FD0F25" w14:paraId="5C70171D" w14:textId="77777777" w:rsidTr="007502AB">
        <w:tc>
          <w:tcPr>
            <w:tcW w:w="851" w:type="dxa"/>
            <w:vAlign w:val="center"/>
          </w:tcPr>
          <w:p w14:paraId="30E8646B" w14:textId="77777777" w:rsidR="00FD0F25" w:rsidRDefault="00FD0F25" w:rsidP="00FD0F25">
            <w:pPr>
              <w:pStyle w:val="BNDES"/>
              <w:spacing w:before="60" w:after="60"/>
            </w:pPr>
            <w:r>
              <w:t>2014</w:t>
            </w:r>
          </w:p>
        </w:tc>
        <w:tc>
          <w:tcPr>
            <w:tcW w:w="1701" w:type="dxa"/>
            <w:vAlign w:val="center"/>
          </w:tcPr>
          <w:p w14:paraId="5E613BF4" w14:textId="77777777" w:rsidR="00FD0F25" w:rsidRPr="00FD0F25" w:rsidRDefault="00FD0F25" w:rsidP="00FD0F25">
            <w:pPr>
              <w:jc w:val="center"/>
              <w:rPr>
                <w:color w:val="000000"/>
              </w:rPr>
            </w:pPr>
            <w:r w:rsidRPr="00FD0F25">
              <w:rPr>
                <w:color w:val="000000"/>
              </w:rPr>
              <w:t>36,3%</w:t>
            </w:r>
          </w:p>
        </w:tc>
        <w:tc>
          <w:tcPr>
            <w:tcW w:w="2268" w:type="dxa"/>
            <w:vAlign w:val="center"/>
          </w:tcPr>
          <w:p w14:paraId="5345ECBC" w14:textId="77777777" w:rsidR="00FD0F25" w:rsidRPr="00FD0F25" w:rsidRDefault="00FD0F25" w:rsidP="00FD0F25">
            <w:pPr>
              <w:jc w:val="center"/>
              <w:rPr>
                <w:color w:val="000000"/>
              </w:rPr>
            </w:pPr>
            <w:r w:rsidRPr="00FD0F25">
              <w:rPr>
                <w:color w:val="000000"/>
              </w:rPr>
              <w:t>14,5%</w:t>
            </w:r>
          </w:p>
        </w:tc>
        <w:tc>
          <w:tcPr>
            <w:tcW w:w="2126" w:type="dxa"/>
            <w:vAlign w:val="center"/>
          </w:tcPr>
          <w:p w14:paraId="3C97D41F" w14:textId="77777777" w:rsidR="00FD0F25" w:rsidRPr="00FD0F25" w:rsidRDefault="00FD0F25" w:rsidP="00FD0F25">
            <w:pPr>
              <w:jc w:val="center"/>
              <w:rPr>
                <w:color w:val="000000"/>
              </w:rPr>
            </w:pPr>
            <w:r w:rsidRPr="00FD0F25">
              <w:rPr>
                <w:color w:val="000000"/>
              </w:rPr>
              <w:t>4,7%</w:t>
            </w:r>
          </w:p>
        </w:tc>
        <w:tc>
          <w:tcPr>
            <w:tcW w:w="2268" w:type="dxa"/>
            <w:vAlign w:val="center"/>
          </w:tcPr>
          <w:p w14:paraId="27B16B5A" w14:textId="77777777" w:rsidR="00FD0F25" w:rsidRPr="00FD0F25" w:rsidRDefault="00FD0F25" w:rsidP="00FD0F25">
            <w:pPr>
              <w:jc w:val="center"/>
              <w:rPr>
                <w:color w:val="000000"/>
              </w:rPr>
            </w:pPr>
            <w:r w:rsidRPr="00FD0F25">
              <w:rPr>
                <w:color w:val="000000"/>
              </w:rPr>
              <w:t>6,2%</w:t>
            </w:r>
          </w:p>
        </w:tc>
      </w:tr>
      <w:tr w:rsidR="00FD0F25" w14:paraId="0418A7B3" w14:textId="77777777" w:rsidTr="007502AB">
        <w:tc>
          <w:tcPr>
            <w:tcW w:w="851" w:type="dxa"/>
            <w:tcBorders>
              <w:bottom w:val="single" w:sz="4" w:space="0" w:color="auto"/>
            </w:tcBorders>
            <w:vAlign w:val="center"/>
          </w:tcPr>
          <w:p w14:paraId="53338EF2" w14:textId="77777777" w:rsidR="00FD0F25" w:rsidRDefault="00FD0F25" w:rsidP="00FD0F25">
            <w:pPr>
              <w:pStyle w:val="BNDES"/>
              <w:spacing w:before="60" w:after="60"/>
            </w:pPr>
            <w:r>
              <w:t>2017</w:t>
            </w:r>
          </w:p>
        </w:tc>
        <w:tc>
          <w:tcPr>
            <w:tcW w:w="1701" w:type="dxa"/>
            <w:tcBorders>
              <w:bottom w:val="single" w:sz="4" w:space="0" w:color="auto"/>
            </w:tcBorders>
            <w:vAlign w:val="center"/>
          </w:tcPr>
          <w:p w14:paraId="7BFFCAD4" w14:textId="77777777" w:rsidR="00FD0F25" w:rsidRPr="00FD0F25" w:rsidRDefault="00FD0F25" w:rsidP="00FD0F25">
            <w:pPr>
              <w:jc w:val="center"/>
              <w:rPr>
                <w:color w:val="000000"/>
              </w:rPr>
            </w:pPr>
            <w:r w:rsidRPr="00FD0F25">
              <w:rPr>
                <w:color w:val="000000"/>
              </w:rPr>
              <w:t>34,3%</w:t>
            </w:r>
          </w:p>
        </w:tc>
        <w:tc>
          <w:tcPr>
            <w:tcW w:w="2268" w:type="dxa"/>
            <w:tcBorders>
              <w:bottom w:val="single" w:sz="4" w:space="0" w:color="auto"/>
            </w:tcBorders>
            <w:vAlign w:val="center"/>
          </w:tcPr>
          <w:p w14:paraId="1F151CF5" w14:textId="77777777" w:rsidR="00FD0F25" w:rsidRPr="00FD0F25" w:rsidRDefault="00FD0F25" w:rsidP="00FD0F25">
            <w:pPr>
              <w:jc w:val="center"/>
              <w:rPr>
                <w:color w:val="000000"/>
              </w:rPr>
            </w:pPr>
            <w:r w:rsidRPr="00FD0F25">
              <w:rPr>
                <w:color w:val="000000"/>
              </w:rPr>
              <w:t>9,3%</w:t>
            </w:r>
          </w:p>
        </w:tc>
        <w:tc>
          <w:tcPr>
            <w:tcW w:w="2126" w:type="dxa"/>
            <w:tcBorders>
              <w:bottom w:val="single" w:sz="4" w:space="0" w:color="auto"/>
            </w:tcBorders>
            <w:vAlign w:val="center"/>
          </w:tcPr>
          <w:p w14:paraId="080492E3" w14:textId="77777777" w:rsidR="00FD0F25" w:rsidRPr="00FD0F25" w:rsidRDefault="00FD0F25" w:rsidP="00FD0F25">
            <w:pPr>
              <w:jc w:val="center"/>
              <w:rPr>
                <w:color w:val="000000"/>
              </w:rPr>
            </w:pPr>
            <w:r w:rsidRPr="00FD0F25">
              <w:rPr>
                <w:color w:val="000000"/>
              </w:rPr>
              <w:t>3,8%</w:t>
            </w:r>
          </w:p>
        </w:tc>
        <w:tc>
          <w:tcPr>
            <w:tcW w:w="2268" w:type="dxa"/>
            <w:tcBorders>
              <w:bottom w:val="single" w:sz="4" w:space="0" w:color="auto"/>
            </w:tcBorders>
            <w:vAlign w:val="center"/>
          </w:tcPr>
          <w:p w14:paraId="3283C490" w14:textId="77777777" w:rsidR="00FD0F25" w:rsidRPr="00FD0F25" w:rsidRDefault="00FD0F25" w:rsidP="00FD0F25">
            <w:pPr>
              <w:jc w:val="center"/>
              <w:rPr>
                <w:color w:val="000000"/>
              </w:rPr>
            </w:pPr>
            <w:r w:rsidRPr="00FD0F25">
              <w:rPr>
                <w:color w:val="000000"/>
              </w:rPr>
              <w:t>6,1%</w:t>
            </w:r>
          </w:p>
        </w:tc>
      </w:tr>
    </w:tbl>
    <w:p w14:paraId="40E63A45" w14:textId="77777777" w:rsidR="00FD0F25" w:rsidRPr="00003301" w:rsidRDefault="00FD0F25" w:rsidP="00BB0CD1">
      <w:pPr>
        <w:pStyle w:val="BNDES"/>
        <w:spacing w:before="60"/>
        <w:rPr>
          <w:sz w:val="20"/>
          <w:szCs w:val="20"/>
        </w:rPr>
      </w:pPr>
      <w:r w:rsidRPr="00003301">
        <w:rPr>
          <w:sz w:val="20"/>
          <w:szCs w:val="20"/>
        </w:rPr>
        <w:t>Notas: Apenas empresas da indústria de transformação foram consideradas.</w:t>
      </w:r>
      <w:r w:rsidR="00E75E3D" w:rsidRPr="00003301">
        <w:rPr>
          <w:sz w:val="20"/>
          <w:szCs w:val="20"/>
        </w:rPr>
        <w:t xml:space="preserve"> Com relação à escassez de pessoal qualificado e de financiamento para inovação, o percentual se refere às empresas que declararam enfrentar um nível alto de estes obstáculos.</w:t>
      </w:r>
    </w:p>
    <w:p w14:paraId="5B564467" w14:textId="77777777" w:rsidR="00C75C29" w:rsidRPr="00003301" w:rsidRDefault="003C2901" w:rsidP="00BB0CD1">
      <w:pPr>
        <w:pStyle w:val="BNDES"/>
        <w:spacing w:after="480"/>
        <w:rPr>
          <w:sz w:val="20"/>
          <w:szCs w:val="20"/>
        </w:rPr>
      </w:pPr>
      <w:r w:rsidRPr="00003301">
        <w:rPr>
          <w:sz w:val="20"/>
          <w:szCs w:val="20"/>
        </w:rPr>
        <w:t>Fonte: Pesquisa de Inovação (PINTEC).</w:t>
      </w:r>
    </w:p>
    <w:p w14:paraId="178B0D5F" w14:textId="77777777" w:rsidR="007B3F60" w:rsidRDefault="007B3F60" w:rsidP="007B3F60">
      <w:pPr>
        <w:pStyle w:val="BNDES"/>
        <w:spacing w:after="240"/>
      </w:pPr>
      <w:r>
        <w:br w:type="page"/>
      </w:r>
    </w:p>
    <w:p w14:paraId="4C8CA2D8" w14:textId="77777777" w:rsidR="007B3F60" w:rsidRDefault="007B3F60" w:rsidP="007B3F60">
      <w:pPr>
        <w:pStyle w:val="BNDES"/>
        <w:spacing w:after="240"/>
      </w:pPr>
      <w:r>
        <w:lastRenderedPageBreak/>
        <w:t xml:space="preserve">Essa </w:t>
      </w:r>
      <w:r w:rsidRPr="00575938">
        <w:t>estratégia fica clara quando se observa o aumento do percentual de empresas contempladas por alguma política de fomento à inovação: de 5,3% em 2000, passando por 6,4% em 2005 e alcançando um pico de 14,5% em 2014</w:t>
      </w:r>
      <w:r>
        <w:t xml:space="preserve"> (ver Tabela 1)</w:t>
      </w:r>
      <w:r w:rsidRPr="00575938">
        <w:t>. As restrições fiscais</w:t>
      </w:r>
      <w:r>
        <w:t xml:space="preserve">, enfrentadas pelo governo federal e pelos entes subnacionais, </w:t>
      </w:r>
      <w:r w:rsidRPr="00575938">
        <w:t>acabaram reduzindo esse valor para 9,3% em 2017.</w:t>
      </w:r>
    </w:p>
    <w:p w14:paraId="4A500E30" w14:textId="77777777" w:rsidR="007502AB" w:rsidRDefault="007502AB" w:rsidP="007502AB">
      <w:pPr>
        <w:pStyle w:val="BNDES"/>
        <w:spacing w:after="240"/>
      </w:pPr>
      <w:r>
        <w:t>Conforme esperado, durante a trajetória de expansão do apoio governamental à inovação privada, o percentual de empresas com problemas graves de acesso ao financiamento a essa atividade diminuiu, pelo menos até 2011. Chama atenção que, ao mesmo tempo, aumentou o percentual de empresas com problemas de escassez de mão de obra qualificada voltada para inovação: de 1,9% em 2005 para um pico de 5,2% em 2011 (ver Tabela 1).</w:t>
      </w:r>
    </w:p>
    <w:p w14:paraId="7C3D197B" w14:textId="77777777" w:rsidR="007502AB" w:rsidRPr="007502AB" w:rsidRDefault="007502AB" w:rsidP="00E00C34">
      <w:pPr>
        <w:pStyle w:val="BNDES"/>
        <w:spacing w:after="240"/>
      </w:pPr>
      <w:r>
        <w:t>Além disso, após um aumento importante de quase cinco pontos percentuais entre 2005 e 2008 (de 33,6% para 38,4%), a proporção de empresas inovadoras reduziu-se. Obviamente a inovação é um processo multicausal e um contrafactual adequado deveria levar em considerações outros fatores. Foge ao escopo desta nota discutir em detalhes esses outros fatores, mas aparentemente a escassez de mão de obra qualificada foi um dos gargalos que impediu que o apoio do governo se transformasse, de fato, em mais inovação.</w:t>
      </w:r>
      <w:r>
        <w:rPr>
          <w:rStyle w:val="Refdenotaderodap"/>
        </w:rPr>
        <w:footnoteReference w:id="2"/>
      </w:r>
      <w:r>
        <w:t xml:space="preserve"> Este ponto é o objeto desta nota e será retomado mais adiante.</w:t>
      </w:r>
    </w:p>
    <w:p w14:paraId="4F077FEA" w14:textId="77777777" w:rsidR="00082D46" w:rsidRPr="00050039" w:rsidRDefault="0008656F" w:rsidP="00E00C34">
      <w:pPr>
        <w:pStyle w:val="BNDES"/>
        <w:spacing w:after="240"/>
        <w:rPr>
          <w:b/>
          <w:bCs/>
        </w:rPr>
      </w:pPr>
      <w:r w:rsidRPr="00050039">
        <w:rPr>
          <w:b/>
          <w:bCs/>
        </w:rPr>
        <w:t>E</w:t>
      </w:r>
      <w:r w:rsidR="009360B6" w:rsidRPr="00050039">
        <w:rPr>
          <w:b/>
          <w:bCs/>
        </w:rPr>
        <w:t xml:space="preserve"> o </w:t>
      </w:r>
      <w:r w:rsidR="00F24E61">
        <w:rPr>
          <w:b/>
          <w:bCs/>
        </w:rPr>
        <w:t>p</w:t>
      </w:r>
      <w:r w:rsidR="009360B6" w:rsidRPr="00050039">
        <w:rPr>
          <w:b/>
          <w:bCs/>
        </w:rPr>
        <w:t xml:space="preserve">apel do </w:t>
      </w:r>
      <w:r w:rsidR="00F24E61">
        <w:rPr>
          <w:b/>
          <w:bCs/>
        </w:rPr>
        <w:t>g</w:t>
      </w:r>
      <w:r w:rsidR="009360B6" w:rsidRPr="00050039">
        <w:rPr>
          <w:b/>
          <w:bCs/>
        </w:rPr>
        <w:t>overno?</w:t>
      </w:r>
    </w:p>
    <w:p w14:paraId="6DC31423" w14:textId="38491D26" w:rsidR="002248A5" w:rsidRDefault="002248A5" w:rsidP="003C2052">
      <w:pPr>
        <w:pStyle w:val="BNDES"/>
        <w:spacing w:after="240"/>
      </w:pPr>
      <w:r>
        <w:t xml:space="preserve">No entanto, o fato de </w:t>
      </w:r>
      <w:r w:rsidR="00643373">
        <w:t xml:space="preserve">a </w:t>
      </w:r>
      <w:r>
        <w:t>inovação te</w:t>
      </w:r>
      <w:r w:rsidR="0098399D">
        <w:t>r</w:t>
      </w:r>
      <w:r>
        <w:t xml:space="preserve"> impacto positivo importante </w:t>
      </w:r>
      <w:r w:rsidR="00322261">
        <w:t xml:space="preserve">sobre a </w:t>
      </w:r>
      <w:r>
        <w:t xml:space="preserve">produtividade das empresas não justifica, por si só, a existência de políticas públicas de fomento </w:t>
      </w:r>
      <w:r w:rsidR="00173213">
        <w:t xml:space="preserve">a </w:t>
      </w:r>
      <w:r>
        <w:t>atividade</w:t>
      </w:r>
      <w:r w:rsidR="00173213">
        <w:t xml:space="preserve">s inovativas </w:t>
      </w:r>
      <w:r w:rsidR="004A5B27">
        <w:t xml:space="preserve">realizadas no âmbito </w:t>
      </w:r>
      <w:r w:rsidR="00173213">
        <w:t>privad</w:t>
      </w:r>
      <w:r w:rsidR="004A5B27">
        <w:t>o</w:t>
      </w:r>
      <w:r>
        <w:t xml:space="preserve">. </w:t>
      </w:r>
      <w:r w:rsidR="007E3D28">
        <w:t>Para tanto, há que existir barreiras que impeçam que investimentos nestas atividades</w:t>
      </w:r>
      <w:r w:rsidR="00173213">
        <w:t xml:space="preserve"> se materializem</w:t>
      </w:r>
      <w:r w:rsidR="007E3D28">
        <w:t xml:space="preserve">, mesmo com retorno privado positivo, </w:t>
      </w:r>
      <w:r w:rsidR="00173213">
        <w:t xml:space="preserve">ou cunhas entre o retorno privado e o retorno social </w:t>
      </w:r>
      <w:r w:rsidR="00453912">
        <w:t>associados à inovação</w:t>
      </w:r>
      <w:r w:rsidR="007E3D28">
        <w:t>.</w:t>
      </w:r>
      <w:r w:rsidR="008B6B76">
        <w:t xml:space="preserve"> São as chamadas falhas de mercado. E, no que diz respeito </w:t>
      </w:r>
      <w:r w:rsidR="00453912">
        <w:t xml:space="preserve">à </w:t>
      </w:r>
      <w:r w:rsidR="008B6B76">
        <w:t>inovação, pelo menos duas delas estão bem documentadas pela literatura.</w:t>
      </w:r>
    </w:p>
    <w:p w14:paraId="6FE884A3" w14:textId="77777777" w:rsidR="00227EAA" w:rsidRDefault="008B6B76" w:rsidP="00227EAA">
      <w:pPr>
        <w:pStyle w:val="BNDES"/>
        <w:spacing w:after="240"/>
      </w:pPr>
      <w:r>
        <w:t xml:space="preserve">A primeira diz </w:t>
      </w:r>
      <w:r w:rsidR="003C2052">
        <w:t>respeito à</w:t>
      </w:r>
      <w:r w:rsidR="00227EAA">
        <w:t>s</w:t>
      </w:r>
      <w:r w:rsidR="003C2052">
        <w:t xml:space="preserve"> falhas no mercado de crédito</w:t>
      </w:r>
      <w:r w:rsidR="005B5B87">
        <w:t xml:space="preserve">. Por conta de assimetrias de informação, muitos bons projetos não </w:t>
      </w:r>
      <w:r w:rsidR="001B3BE0">
        <w:t xml:space="preserve">conseguem financiamento, principalmente quando as empresas não são capazes de </w:t>
      </w:r>
      <w:r w:rsidR="00225CB2">
        <w:t xml:space="preserve">oferecer garantias </w:t>
      </w:r>
      <w:r w:rsidR="00605EDF">
        <w:t xml:space="preserve">suficientes </w:t>
      </w:r>
      <w:r w:rsidR="00225CB2">
        <w:t>aos seus potenciais credores.</w:t>
      </w:r>
      <w:r w:rsidR="00BB7D57">
        <w:t xml:space="preserve"> </w:t>
      </w:r>
      <w:r w:rsidR="00626949">
        <w:t>Estas falhas de mercado são exacerbadas no caso de investimento</w:t>
      </w:r>
      <w:r w:rsidR="00605EDF">
        <w:t>s</w:t>
      </w:r>
      <w:r w:rsidR="00626949">
        <w:t xml:space="preserve"> em atividades inovativas, que tipicamente são ainda </w:t>
      </w:r>
      <w:r w:rsidR="000049D6">
        <w:t xml:space="preserve">mais </w:t>
      </w:r>
      <w:r w:rsidR="00626949">
        <w:t>arriscadas do que inversões em máquinas e equipamentos, por exemplo.</w:t>
      </w:r>
      <w:r w:rsidR="003C2052">
        <w:t xml:space="preserve"> </w:t>
      </w:r>
    </w:p>
    <w:p w14:paraId="46356038" w14:textId="77777777" w:rsidR="00227EAA" w:rsidRDefault="00173213" w:rsidP="00227EAA">
      <w:pPr>
        <w:pStyle w:val="BNDES"/>
        <w:spacing w:after="240"/>
      </w:pPr>
      <w:r>
        <w:t>A segunda tem relação com as externalidades positivas associadas à inovação. M</w:t>
      </w:r>
      <w:r w:rsidR="000434D2">
        <w:t>esmo na</w:t>
      </w:r>
      <w:r w:rsidR="00227EAA">
        <w:t xml:space="preserve"> </w:t>
      </w:r>
      <w:r w:rsidR="000434D2">
        <w:t xml:space="preserve">ausência de falhas no mercado de crédito, em </w:t>
      </w:r>
      <w:r w:rsidR="00227EAA">
        <w:t xml:space="preserve">muitas circunstâncias </w:t>
      </w:r>
      <w:r>
        <w:t xml:space="preserve">não é possível </w:t>
      </w:r>
      <w:r w:rsidR="002E7250">
        <w:t xml:space="preserve">que </w:t>
      </w:r>
      <w:r w:rsidR="00227EAA">
        <w:t>as empresas se apropri</w:t>
      </w:r>
      <w:r w:rsidR="002E7250">
        <w:t>em</w:t>
      </w:r>
      <w:r w:rsidR="00227EAA">
        <w:t xml:space="preserve"> completamente dos ganhos obtidos com</w:t>
      </w:r>
      <w:r>
        <w:t xml:space="preserve"> investimentos em atividades inovativas</w:t>
      </w:r>
      <w:r w:rsidR="000434D2">
        <w:t xml:space="preserve">. Sendo assim, elas tendem a </w:t>
      </w:r>
      <w:r w:rsidR="00227EAA">
        <w:t xml:space="preserve">investir menos </w:t>
      </w:r>
      <w:r w:rsidR="009C36EB">
        <w:t xml:space="preserve">em inovação </w:t>
      </w:r>
      <w:r w:rsidR="00227EAA">
        <w:t xml:space="preserve">do que seria desejável do ponto de vista da sociedade. </w:t>
      </w:r>
    </w:p>
    <w:p w14:paraId="08B919B1" w14:textId="77777777" w:rsidR="00A2227C" w:rsidRPr="006859A6" w:rsidRDefault="00F24E61" w:rsidP="006859A6">
      <w:pPr>
        <w:pStyle w:val="BNDES"/>
        <w:spacing w:after="240"/>
        <w:rPr>
          <w:b/>
        </w:rPr>
      </w:pPr>
      <w:r w:rsidRPr="006859A6">
        <w:rPr>
          <w:b/>
        </w:rPr>
        <w:t>Dinheiro não é tudo</w:t>
      </w:r>
    </w:p>
    <w:p w14:paraId="401B4A82" w14:textId="77777777" w:rsidR="00ED448E" w:rsidRDefault="006859A6" w:rsidP="006859A6">
      <w:pPr>
        <w:pStyle w:val="BNDES"/>
        <w:spacing w:after="240"/>
        <w:rPr>
          <w:szCs w:val="24"/>
        </w:rPr>
      </w:pPr>
      <w:r w:rsidRPr="006859A6">
        <w:rPr>
          <w:szCs w:val="24"/>
        </w:rPr>
        <w:t xml:space="preserve">Nesse sentido, </w:t>
      </w:r>
      <w:r w:rsidR="00316EE0" w:rsidRPr="006859A6">
        <w:rPr>
          <w:szCs w:val="24"/>
        </w:rPr>
        <w:t>a</w:t>
      </w:r>
      <w:r w:rsidRPr="006859A6">
        <w:rPr>
          <w:szCs w:val="24"/>
        </w:rPr>
        <w:t>s</w:t>
      </w:r>
      <w:r w:rsidR="00316EE0" w:rsidRPr="006859A6">
        <w:rPr>
          <w:szCs w:val="24"/>
        </w:rPr>
        <w:t xml:space="preserve"> barreira</w:t>
      </w:r>
      <w:r w:rsidRPr="006859A6">
        <w:rPr>
          <w:szCs w:val="24"/>
        </w:rPr>
        <w:t>s</w:t>
      </w:r>
      <w:r w:rsidR="00316EE0" w:rsidRPr="006859A6">
        <w:rPr>
          <w:szCs w:val="24"/>
        </w:rPr>
        <w:t xml:space="preserve"> financeira</w:t>
      </w:r>
      <w:r w:rsidRPr="006859A6">
        <w:rPr>
          <w:szCs w:val="24"/>
        </w:rPr>
        <w:t>s</w:t>
      </w:r>
      <w:r w:rsidR="00316EE0" w:rsidRPr="006859A6">
        <w:rPr>
          <w:szCs w:val="24"/>
        </w:rPr>
        <w:t xml:space="preserve"> </w:t>
      </w:r>
      <w:r w:rsidR="00542856" w:rsidRPr="006859A6">
        <w:rPr>
          <w:szCs w:val="24"/>
        </w:rPr>
        <w:t xml:space="preserve">sempre </w:t>
      </w:r>
      <w:r w:rsidR="006A72EC">
        <w:rPr>
          <w:szCs w:val="24"/>
        </w:rPr>
        <w:t xml:space="preserve">receberam mais atenção como potenciais </w:t>
      </w:r>
      <w:r w:rsidR="00316EE0" w:rsidRPr="006859A6">
        <w:rPr>
          <w:szCs w:val="24"/>
        </w:rPr>
        <w:t>obstáculo</w:t>
      </w:r>
      <w:r w:rsidR="006A72EC">
        <w:rPr>
          <w:szCs w:val="24"/>
        </w:rPr>
        <w:t>s</w:t>
      </w:r>
      <w:r w:rsidR="00316EE0" w:rsidRPr="006859A6">
        <w:rPr>
          <w:szCs w:val="24"/>
        </w:rPr>
        <w:t xml:space="preserve"> </w:t>
      </w:r>
      <w:r w:rsidR="000C5D4C">
        <w:rPr>
          <w:szCs w:val="24"/>
        </w:rPr>
        <w:t xml:space="preserve">à </w:t>
      </w:r>
      <w:r w:rsidR="006A72EC">
        <w:rPr>
          <w:szCs w:val="24"/>
        </w:rPr>
        <w:t>inovação no âmbito das empresas [Hall (2002)</w:t>
      </w:r>
      <w:r w:rsidR="002647A9">
        <w:rPr>
          <w:szCs w:val="24"/>
        </w:rPr>
        <w:t>]</w:t>
      </w:r>
      <w:r w:rsidR="006A72EC">
        <w:rPr>
          <w:szCs w:val="24"/>
        </w:rPr>
        <w:t>.</w:t>
      </w:r>
      <w:r w:rsidR="00316EE0" w:rsidRPr="006859A6">
        <w:rPr>
          <w:szCs w:val="24"/>
        </w:rPr>
        <w:t xml:space="preserve"> </w:t>
      </w:r>
      <w:r w:rsidR="006A72EC">
        <w:rPr>
          <w:szCs w:val="24"/>
        </w:rPr>
        <w:t xml:space="preserve">Apenas mais </w:t>
      </w:r>
      <w:r w:rsidR="00542856" w:rsidRPr="006859A6">
        <w:rPr>
          <w:szCs w:val="24"/>
        </w:rPr>
        <w:t>recente</w:t>
      </w:r>
      <w:r>
        <w:rPr>
          <w:szCs w:val="24"/>
        </w:rPr>
        <w:t>mente</w:t>
      </w:r>
      <w:r w:rsidR="00316EE0" w:rsidRPr="006859A6">
        <w:rPr>
          <w:szCs w:val="24"/>
        </w:rPr>
        <w:t xml:space="preserve"> </w:t>
      </w:r>
      <w:r w:rsidR="006A72EC">
        <w:rPr>
          <w:szCs w:val="24"/>
        </w:rPr>
        <w:t xml:space="preserve">o interesse se voltou para outros tipos de </w:t>
      </w:r>
      <w:r w:rsidR="00316EE0" w:rsidRPr="006859A6">
        <w:rPr>
          <w:szCs w:val="24"/>
        </w:rPr>
        <w:t xml:space="preserve">barreiras </w:t>
      </w:r>
      <w:r w:rsidR="000C5D4C">
        <w:rPr>
          <w:szCs w:val="24"/>
        </w:rPr>
        <w:t xml:space="preserve">à inovação </w:t>
      </w:r>
      <w:r w:rsidR="006A72EC">
        <w:rPr>
          <w:szCs w:val="24"/>
        </w:rPr>
        <w:t>[</w:t>
      </w:r>
      <w:r w:rsidR="006A72EC" w:rsidRPr="006859A6">
        <w:rPr>
          <w:noProof/>
          <w:szCs w:val="24"/>
        </w:rPr>
        <w:t>Mohan, Strobl</w:t>
      </w:r>
      <w:r w:rsidR="006A72EC">
        <w:rPr>
          <w:noProof/>
          <w:szCs w:val="24"/>
        </w:rPr>
        <w:t xml:space="preserve"> &amp; </w:t>
      </w:r>
      <w:r w:rsidR="006A72EC" w:rsidRPr="006859A6">
        <w:rPr>
          <w:noProof/>
          <w:szCs w:val="24"/>
        </w:rPr>
        <w:t xml:space="preserve">Watson </w:t>
      </w:r>
      <w:r w:rsidR="006A72EC">
        <w:rPr>
          <w:noProof/>
          <w:szCs w:val="24"/>
        </w:rPr>
        <w:t>(</w:t>
      </w:r>
      <w:r w:rsidR="006A72EC" w:rsidRPr="006859A6">
        <w:rPr>
          <w:noProof/>
          <w:szCs w:val="24"/>
        </w:rPr>
        <w:t>2017</w:t>
      </w:r>
      <w:r w:rsidR="006A72EC">
        <w:rPr>
          <w:noProof/>
          <w:szCs w:val="24"/>
        </w:rPr>
        <w:t xml:space="preserve">) e </w:t>
      </w:r>
      <w:r w:rsidR="006A72EC" w:rsidRPr="006859A6">
        <w:rPr>
          <w:noProof/>
          <w:szCs w:val="24"/>
        </w:rPr>
        <w:t xml:space="preserve">Pellegrino </w:t>
      </w:r>
      <w:r w:rsidR="006A72EC">
        <w:rPr>
          <w:noProof/>
          <w:szCs w:val="24"/>
        </w:rPr>
        <w:t xml:space="preserve">&amp; </w:t>
      </w:r>
      <w:r w:rsidR="006A72EC" w:rsidRPr="006859A6">
        <w:rPr>
          <w:noProof/>
          <w:szCs w:val="24"/>
        </w:rPr>
        <w:t>Savona</w:t>
      </w:r>
      <w:r w:rsidR="006A72EC">
        <w:rPr>
          <w:noProof/>
          <w:szCs w:val="24"/>
        </w:rPr>
        <w:t xml:space="preserve"> (</w:t>
      </w:r>
      <w:r w:rsidR="006A72EC" w:rsidRPr="006859A6">
        <w:rPr>
          <w:noProof/>
          <w:szCs w:val="24"/>
        </w:rPr>
        <w:t>2017</w:t>
      </w:r>
      <w:r w:rsidR="006A72EC">
        <w:rPr>
          <w:szCs w:val="24"/>
        </w:rPr>
        <w:t>)]</w:t>
      </w:r>
      <w:r w:rsidR="00316EE0" w:rsidRPr="006859A6">
        <w:rPr>
          <w:szCs w:val="24"/>
        </w:rPr>
        <w:t>.</w:t>
      </w:r>
      <w:r w:rsidR="00ED448E">
        <w:rPr>
          <w:szCs w:val="24"/>
        </w:rPr>
        <w:t xml:space="preserve"> </w:t>
      </w:r>
      <w:r w:rsidR="0029306B" w:rsidRPr="00B0188C">
        <w:rPr>
          <w:szCs w:val="24"/>
        </w:rPr>
        <w:t xml:space="preserve">Os autores desta nota têm desenvolvido uma agenda de pesquisa </w:t>
      </w:r>
      <w:r w:rsidR="00B0188C" w:rsidRPr="00B0188C">
        <w:rPr>
          <w:szCs w:val="24"/>
        </w:rPr>
        <w:t xml:space="preserve">que se conecta com esse tema. Em particular </w:t>
      </w:r>
      <w:r w:rsidR="0029306B" w:rsidRPr="00B0188C">
        <w:rPr>
          <w:szCs w:val="24"/>
        </w:rPr>
        <w:t>tenta</w:t>
      </w:r>
      <w:r w:rsidR="00B0188C" w:rsidRPr="00B0188C">
        <w:rPr>
          <w:szCs w:val="24"/>
        </w:rPr>
        <w:t>ndo</w:t>
      </w:r>
      <w:r w:rsidR="0029306B" w:rsidRPr="00B0188C">
        <w:rPr>
          <w:szCs w:val="24"/>
        </w:rPr>
        <w:t xml:space="preserve"> </w:t>
      </w:r>
      <w:r w:rsidR="00B0188C" w:rsidRPr="00B0188C">
        <w:rPr>
          <w:szCs w:val="24"/>
        </w:rPr>
        <w:t>identificar</w:t>
      </w:r>
      <w:r w:rsidR="0029306B" w:rsidRPr="00B0188C">
        <w:rPr>
          <w:szCs w:val="24"/>
        </w:rPr>
        <w:t xml:space="preserve"> – no âmbito de empresas brasileiras – quais os principais obstáculos à inovação, em especial se obstáculos não financeiros jogam papel importante. </w:t>
      </w:r>
    </w:p>
    <w:p w14:paraId="72062155" w14:textId="77777777" w:rsidR="0029306B" w:rsidRPr="00B0188C" w:rsidRDefault="0029306B" w:rsidP="006859A6">
      <w:pPr>
        <w:pStyle w:val="BNDES"/>
        <w:spacing w:after="240"/>
        <w:rPr>
          <w:szCs w:val="24"/>
        </w:rPr>
      </w:pPr>
      <w:r w:rsidRPr="00B0188C">
        <w:rPr>
          <w:szCs w:val="24"/>
        </w:rPr>
        <w:lastRenderedPageBreak/>
        <w:t xml:space="preserve">Os resultados apresentados aqui são parte de um projeto inicialmente financiado pelo </w:t>
      </w:r>
      <w:r w:rsidR="00316EE0" w:rsidRPr="00B0188C">
        <w:rPr>
          <w:szCs w:val="24"/>
        </w:rPr>
        <w:t xml:space="preserve">Banco </w:t>
      </w:r>
      <w:r w:rsidR="004B198D" w:rsidRPr="00B0188C">
        <w:rPr>
          <w:szCs w:val="24"/>
        </w:rPr>
        <w:t>Interamericano</w:t>
      </w:r>
      <w:r w:rsidR="00D13B18" w:rsidRPr="00B0188C">
        <w:rPr>
          <w:szCs w:val="24"/>
        </w:rPr>
        <w:t xml:space="preserve"> de Desenvolvimento</w:t>
      </w:r>
      <w:r w:rsidRPr="00B0188C">
        <w:rPr>
          <w:szCs w:val="24"/>
        </w:rPr>
        <w:t>, e que envolveu</w:t>
      </w:r>
      <w:r w:rsidR="00D13B18" w:rsidRPr="00B0188C">
        <w:rPr>
          <w:szCs w:val="24"/>
        </w:rPr>
        <w:t xml:space="preserve"> pesquisadores </w:t>
      </w:r>
      <w:r w:rsidRPr="00B0188C">
        <w:rPr>
          <w:szCs w:val="24"/>
        </w:rPr>
        <w:t xml:space="preserve">de diversos </w:t>
      </w:r>
      <w:r w:rsidR="00D13B18" w:rsidRPr="00B0188C">
        <w:rPr>
          <w:szCs w:val="24"/>
        </w:rPr>
        <w:t>países</w:t>
      </w:r>
      <w:r w:rsidRPr="00B0188C">
        <w:rPr>
          <w:szCs w:val="24"/>
        </w:rPr>
        <w:t xml:space="preserve"> latino-americanos</w:t>
      </w:r>
      <w:r w:rsidR="00B0188C" w:rsidRPr="00B0188C">
        <w:rPr>
          <w:szCs w:val="24"/>
        </w:rPr>
        <w:t xml:space="preserve">. Tais resultados foram </w:t>
      </w:r>
      <w:r w:rsidRPr="00B0188C">
        <w:rPr>
          <w:szCs w:val="24"/>
        </w:rPr>
        <w:t xml:space="preserve">posteriormente aprofundados como parte de um projeto financiado pela Rede de Pesquisa Aplicada da FGV. </w:t>
      </w:r>
    </w:p>
    <w:p w14:paraId="7039BE59" w14:textId="1FC494ED" w:rsidR="009633BC" w:rsidRDefault="005D06E3" w:rsidP="006859A6">
      <w:pPr>
        <w:pStyle w:val="BNDES"/>
        <w:spacing w:after="240"/>
        <w:rPr>
          <w:szCs w:val="24"/>
        </w:rPr>
      </w:pPr>
      <w:r w:rsidRPr="0051530B">
        <w:rPr>
          <w:szCs w:val="24"/>
        </w:rPr>
        <w:t>Sendo assim</w:t>
      </w:r>
      <w:r w:rsidR="0029306B" w:rsidRPr="0051530B">
        <w:rPr>
          <w:szCs w:val="24"/>
        </w:rPr>
        <w:t xml:space="preserve">, esta nota visa justamente compartilhar </w:t>
      </w:r>
      <w:r w:rsidR="00B0188C" w:rsidRPr="0051530B">
        <w:rPr>
          <w:szCs w:val="24"/>
        </w:rPr>
        <w:t xml:space="preserve">com o público não acadêmico </w:t>
      </w:r>
      <w:r w:rsidR="0029306B" w:rsidRPr="0051530B">
        <w:rPr>
          <w:szCs w:val="24"/>
        </w:rPr>
        <w:t>parte dos resultados dessa agenda de pesquisa</w:t>
      </w:r>
      <w:r w:rsidR="00375729">
        <w:rPr>
          <w:szCs w:val="24"/>
        </w:rPr>
        <w:t xml:space="preserve">, bem como </w:t>
      </w:r>
      <w:r w:rsidR="00205287">
        <w:rPr>
          <w:szCs w:val="24"/>
        </w:rPr>
        <w:t xml:space="preserve">descrever algumas </w:t>
      </w:r>
      <w:r w:rsidR="00375729">
        <w:rPr>
          <w:szCs w:val="24"/>
        </w:rPr>
        <w:t>implicações em termos do desenho das políticas públicas de apoio à inovação no Brasil</w:t>
      </w:r>
      <w:r w:rsidR="0029306B" w:rsidRPr="0051530B">
        <w:rPr>
          <w:szCs w:val="24"/>
        </w:rPr>
        <w:t xml:space="preserve">. </w:t>
      </w:r>
      <w:r w:rsidR="0051530B">
        <w:rPr>
          <w:szCs w:val="24"/>
        </w:rPr>
        <w:t xml:space="preserve">Para mais detalhes, </w:t>
      </w:r>
      <w:r w:rsidR="00E553DF">
        <w:rPr>
          <w:szCs w:val="24"/>
        </w:rPr>
        <w:t xml:space="preserve">pede-se </w:t>
      </w:r>
      <w:r w:rsidR="0051530B">
        <w:rPr>
          <w:szCs w:val="24"/>
        </w:rPr>
        <w:t xml:space="preserve">consultar </w:t>
      </w:r>
      <w:r w:rsidR="00375729">
        <w:rPr>
          <w:szCs w:val="24"/>
        </w:rPr>
        <w:t xml:space="preserve">Canêdo-Pinheiro, </w:t>
      </w:r>
      <w:r w:rsidR="0098399D">
        <w:rPr>
          <w:szCs w:val="24"/>
        </w:rPr>
        <w:t xml:space="preserve">Lage de </w:t>
      </w:r>
      <w:r w:rsidR="00375729">
        <w:rPr>
          <w:szCs w:val="24"/>
        </w:rPr>
        <w:t xml:space="preserve">Sousa &amp; Oliveira (2018) e </w:t>
      </w:r>
      <w:r w:rsidR="00654AF7">
        <w:rPr>
          <w:szCs w:val="24"/>
        </w:rPr>
        <w:t xml:space="preserve">Cabral, </w:t>
      </w:r>
      <w:r w:rsidR="0098399D">
        <w:rPr>
          <w:szCs w:val="24"/>
        </w:rPr>
        <w:t xml:space="preserve">Lage de </w:t>
      </w:r>
      <w:r w:rsidR="00654AF7">
        <w:rPr>
          <w:szCs w:val="24"/>
        </w:rPr>
        <w:t>Sousa &amp; Canêdo-Pinheiro (2020)</w:t>
      </w:r>
      <w:r w:rsidR="0051530B">
        <w:rPr>
          <w:szCs w:val="24"/>
        </w:rPr>
        <w:t xml:space="preserve">, artigos nos quais boa parte dessa nota foi baseada. </w:t>
      </w:r>
    </w:p>
    <w:p w14:paraId="724861ED" w14:textId="77777777" w:rsidR="00FF179C" w:rsidRPr="002977AC" w:rsidRDefault="00FF179C" w:rsidP="00FF179C">
      <w:pPr>
        <w:pStyle w:val="BNDES"/>
        <w:spacing w:after="240"/>
        <w:rPr>
          <w:b/>
          <w:szCs w:val="24"/>
        </w:rPr>
      </w:pPr>
      <w:r w:rsidRPr="002977AC">
        <w:rPr>
          <w:b/>
          <w:szCs w:val="24"/>
        </w:rPr>
        <w:t xml:space="preserve">Quais </w:t>
      </w:r>
      <w:r>
        <w:rPr>
          <w:b/>
          <w:szCs w:val="24"/>
        </w:rPr>
        <w:t xml:space="preserve">empresas </w:t>
      </w:r>
      <w:r w:rsidR="00710671">
        <w:rPr>
          <w:b/>
          <w:szCs w:val="24"/>
        </w:rPr>
        <w:t xml:space="preserve">foram </w:t>
      </w:r>
      <w:r w:rsidRPr="002977AC">
        <w:rPr>
          <w:b/>
          <w:szCs w:val="24"/>
        </w:rPr>
        <w:t xml:space="preserve">analisadas? </w:t>
      </w:r>
    </w:p>
    <w:p w14:paraId="5DE1BC34" w14:textId="77777777" w:rsidR="00843665" w:rsidRPr="009B4A38" w:rsidRDefault="00843665" w:rsidP="00FF179C">
      <w:pPr>
        <w:pStyle w:val="BNDES"/>
        <w:spacing w:after="240"/>
      </w:pPr>
      <w:r w:rsidRPr="009B4A38">
        <w:t xml:space="preserve">O ponto de partida para </w:t>
      </w:r>
      <w:r w:rsidR="003D70AE">
        <w:t xml:space="preserve">avaliar </w:t>
      </w:r>
      <w:r w:rsidR="00CF7C75">
        <w:t xml:space="preserve">a relevância de diferentes obstáculos na propensão a inovar das empresas brasileiras </w:t>
      </w:r>
      <w:r w:rsidR="00C560BB" w:rsidRPr="009B4A38">
        <w:t xml:space="preserve">foi a </w:t>
      </w:r>
      <w:r w:rsidRPr="009B4A38">
        <w:t>Pesquisa de Inovação (PINTEC)</w:t>
      </w:r>
      <w:r w:rsidR="009B4A38">
        <w:t>.</w:t>
      </w:r>
      <w:r w:rsidR="00C560BB" w:rsidRPr="009B4A38">
        <w:t xml:space="preserve"> </w:t>
      </w:r>
      <w:r w:rsidR="009B4A38">
        <w:t xml:space="preserve">Trata-se de pesquisa </w:t>
      </w:r>
      <w:r w:rsidR="009B4A38" w:rsidRPr="009B4A38">
        <w:t>realizada a cada três anos pelo IBGE</w:t>
      </w:r>
      <w:r w:rsidR="009B4A38">
        <w:t xml:space="preserve">, na qual as empresas respondem a questões relativas a suas atividades inovativas. Foram usadas cinco edições </w:t>
      </w:r>
      <w:r w:rsidR="00183BDD">
        <w:t>da PINTEC</w:t>
      </w:r>
      <w:r w:rsidR="009B4A38">
        <w:t xml:space="preserve">: </w:t>
      </w:r>
      <w:r w:rsidR="009B4A38" w:rsidRPr="009B4A38">
        <w:t>2001-2003, 2003-2005, 2006-2008, 2009-2011 e 2012-2014</w:t>
      </w:r>
      <w:r w:rsidR="009B4A38">
        <w:t>.</w:t>
      </w:r>
      <w:r w:rsidR="00F65A96">
        <w:rPr>
          <w:rStyle w:val="Refdenotaderodap"/>
        </w:rPr>
        <w:footnoteReference w:id="3"/>
      </w:r>
    </w:p>
    <w:p w14:paraId="37FE0184" w14:textId="77777777" w:rsidR="008D4261" w:rsidRDefault="00D42A83" w:rsidP="00D42A83">
      <w:pPr>
        <w:pStyle w:val="BNDES"/>
        <w:spacing w:after="240"/>
        <w:rPr>
          <w:szCs w:val="24"/>
        </w:rPr>
      </w:pPr>
      <w:r>
        <w:rPr>
          <w:szCs w:val="24"/>
        </w:rPr>
        <w:t xml:space="preserve">Circunscrever a análise </w:t>
      </w:r>
      <w:r w:rsidRPr="002977AC">
        <w:rPr>
          <w:szCs w:val="24"/>
        </w:rPr>
        <w:t xml:space="preserve">apenas </w:t>
      </w:r>
      <w:r>
        <w:rPr>
          <w:szCs w:val="24"/>
        </w:rPr>
        <w:t xml:space="preserve">às empresas que </w:t>
      </w:r>
      <w:r w:rsidRPr="002977AC">
        <w:rPr>
          <w:szCs w:val="24"/>
        </w:rPr>
        <w:t>inova</w:t>
      </w:r>
      <w:r>
        <w:rPr>
          <w:szCs w:val="24"/>
        </w:rPr>
        <w:t>ram</w:t>
      </w:r>
      <w:r w:rsidRPr="002977AC">
        <w:rPr>
          <w:szCs w:val="24"/>
        </w:rPr>
        <w:t xml:space="preserve"> não é adequado, pois algumas </w:t>
      </w:r>
      <w:r>
        <w:rPr>
          <w:szCs w:val="24"/>
        </w:rPr>
        <w:t xml:space="preserve">delas </w:t>
      </w:r>
      <w:r w:rsidRPr="002977AC">
        <w:rPr>
          <w:szCs w:val="24"/>
        </w:rPr>
        <w:t xml:space="preserve">podem ter tentado inovar, mas não conseguiram em virtude das barreiras enfrentadas. Mais ainda, há </w:t>
      </w:r>
      <w:r>
        <w:rPr>
          <w:szCs w:val="24"/>
        </w:rPr>
        <w:t xml:space="preserve">empresas </w:t>
      </w:r>
      <w:r w:rsidRPr="002977AC">
        <w:rPr>
          <w:szCs w:val="24"/>
        </w:rPr>
        <w:t xml:space="preserve">que até gostariam de inovar, porém nem tentaram pelos obstáculos encontrados. </w:t>
      </w:r>
      <w:r>
        <w:rPr>
          <w:szCs w:val="24"/>
        </w:rPr>
        <w:t xml:space="preserve">Todas essas empresas foram incluídas </w:t>
      </w:r>
      <w:r w:rsidR="008D4261">
        <w:rPr>
          <w:szCs w:val="24"/>
        </w:rPr>
        <w:t>na amostra.</w:t>
      </w:r>
    </w:p>
    <w:p w14:paraId="07124636" w14:textId="2F5F857C" w:rsidR="003B7C30" w:rsidRPr="002977AC" w:rsidRDefault="008D4261" w:rsidP="003B7C30">
      <w:pPr>
        <w:pStyle w:val="BNDES"/>
        <w:spacing w:after="240"/>
        <w:rPr>
          <w:szCs w:val="24"/>
        </w:rPr>
      </w:pPr>
      <w:r>
        <w:rPr>
          <w:szCs w:val="24"/>
        </w:rPr>
        <w:t xml:space="preserve">No entanto, algumas </w:t>
      </w:r>
      <w:r w:rsidR="00D42A83">
        <w:rPr>
          <w:szCs w:val="24"/>
        </w:rPr>
        <w:t>empresa</w:t>
      </w:r>
      <w:r>
        <w:rPr>
          <w:szCs w:val="24"/>
        </w:rPr>
        <w:t xml:space="preserve">s, mesmo sem enfrentar qualquer obstáculo à inovação, não demonstram </w:t>
      </w:r>
      <w:r w:rsidR="00D42A83" w:rsidRPr="002977AC">
        <w:rPr>
          <w:szCs w:val="24"/>
        </w:rPr>
        <w:t>interesse em inovar</w:t>
      </w:r>
      <w:r>
        <w:rPr>
          <w:szCs w:val="24"/>
        </w:rPr>
        <w:t>.</w:t>
      </w:r>
      <w:r w:rsidR="00D42A83" w:rsidRPr="002977AC">
        <w:rPr>
          <w:szCs w:val="24"/>
        </w:rPr>
        <w:t xml:space="preserve"> </w:t>
      </w:r>
      <w:r>
        <w:rPr>
          <w:szCs w:val="24"/>
        </w:rPr>
        <w:t xml:space="preserve">Logo, incluí-las na </w:t>
      </w:r>
      <w:r w:rsidR="00D42A83" w:rsidRPr="002977AC">
        <w:rPr>
          <w:szCs w:val="24"/>
        </w:rPr>
        <w:t>análise atrapalha o entendimento do fenômeno</w:t>
      </w:r>
      <w:r>
        <w:rPr>
          <w:szCs w:val="24"/>
        </w:rPr>
        <w:t xml:space="preserve"> estudado</w:t>
      </w:r>
      <w:r w:rsidR="00D42A83" w:rsidRPr="002977AC">
        <w:rPr>
          <w:szCs w:val="24"/>
        </w:rPr>
        <w:t xml:space="preserve">. </w:t>
      </w:r>
      <w:r w:rsidR="000B5D18">
        <w:rPr>
          <w:szCs w:val="24"/>
        </w:rPr>
        <w:t>Em resumo</w:t>
      </w:r>
      <w:r w:rsidR="003B7C30">
        <w:rPr>
          <w:szCs w:val="24"/>
        </w:rPr>
        <w:t xml:space="preserve">, é possível </w:t>
      </w:r>
      <w:r w:rsidR="003B7C30" w:rsidRPr="002977AC">
        <w:rPr>
          <w:szCs w:val="24"/>
        </w:rPr>
        <w:t xml:space="preserve">classificar as </w:t>
      </w:r>
      <w:r w:rsidR="003B7C30">
        <w:rPr>
          <w:szCs w:val="24"/>
        </w:rPr>
        <w:t xml:space="preserve">empresas </w:t>
      </w:r>
      <w:r w:rsidR="003B7C30" w:rsidRPr="002977AC">
        <w:rPr>
          <w:szCs w:val="24"/>
        </w:rPr>
        <w:t xml:space="preserve">em três grupos: </w:t>
      </w:r>
    </w:p>
    <w:p w14:paraId="631C34AC" w14:textId="77777777" w:rsidR="003B7C30" w:rsidRPr="005A3EC4" w:rsidRDefault="003B7C30" w:rsidP="003B7C30">
      <w:pPr>
        <w:pStyle w:val="BNDES"/>
        <w:numPr>
          <w:ilvl w:val="0"/>
          <w:numId w:val="25"/>
        </w:numPr>
        <w:spacing w:after="120"/>
        <w:ind w:left="357" w:hanging="357"/>
        <w:rPr>
          <w:b/>
          <w:szCs w:val="24"/>
        </w:rPr>
      </w:pPr>
      <w:r w:rsidRPr="005A3EC4">
        <w:rPr>
          <w:b/>
          <w:szCs w:val="24"/>
        </w:rPr>
        <w:t>Ativas em Inovação</w:t>
      </w:r>
      <w:r w:rsidRPr="005A3EC4">
        <w:rPr>
          <w:bCs/>
          <w:szCs w:val="24"/>
        </w:rPr>
        <w:t xml:space="preserve">, que inclui não só aquelas que inovaram (fizeram inovação de produto e/ou processo), como também as que falharam, ou seja, </w:t>
      </w:r>
      <w:r>
        <w:rPr>
          <w:bCs/>
          <w:szCs w:val="24"/>
        </w:rPr>
        <w:t>aquelas</w:t>
      </w:r>
      <w:r w:rsidRPr="005A3EC4">
        <w:rPr>
          <w:bCs/>
          <w:szCs w:val="24"/>
        </w:rPr>
        <w:t xml:space="preserve"> que tentaram inovar, porém acabaram abandonando </w:t>
      </w:r>
      <w:r>
        <w:rPr>
          <w:bCs/>
          <w:szCs w:val="24"/>
        </w:rPr>
        <w:t xml:space="preserve">seus </w:t>
      </w:r>
      <w:r w:rsidRPr="005A3EC4">
        <w:rPr>
          <w:bCs/>
          <w:szCs w:val="24"/>
        </w:rPr>
        <w:t>projetos ou deixando-os incompletos;</w:t>
      </w:r>
    </w:p>
    <w:p w14:paraId="4C1D8705" w14:textId="77777777" w:rsidR="003B7C30" w:rsidRPr="005A3EC4" w:rsidRDefault="003B7C30" w:rsidP="003B7C30">
      <w:pPr>
        <w:pStyle w:val="BNDES"/>
        <w:numPr>
          <w:ilvl w:val="0"/>
          <w:numId w:val="25"/>
        </w:numPr>
        <w:spacing w:after="120"/>
        <w:ind w:left="357" w:hanging="357"/>
        <w:rPr>
          <w:b/>
          <w:szCs w:val="24"/>
        </w:rPr>
      </w:pPr>
      <w:r w:rsidRPr="005A3EC4">
        <w:rPr>
          <w:b/>
          <w:szCs w:val="24"/>
        </w:rPr>
        <w:t>Inovadoras Potenciais</w:t>
      </w:r>
      <w:r w:rsidRPr="005A3EC4">
        <w:rPr>
          <w:bCs/>
          <w:szCs w:val="24"/>
        </w:rPr>
        <w:t>, empresas que não realizaram atividades inovativas em virtude dos obstáculos encontrados;</w:t>
      </w:r>
    </w:p>
    <w:p w14:paraId="23D1B12C" w14:textId="77777777" w:rsidR="003B7C30" w:rsidRPr="005A3EC4" w:rsidRDefault="003B7C30" w:rsidP="003B7C30">
      <w:pPr>
        <w:pStyle w:val="BNDES"/>
        <w:numPr>
          <w:ilvl w:val="0"/>
          <w:numId w:val="25"/>
        </w:numPr>
        <w:spacing w:after="240"/>
        <w:ind w:left="357" w:hanging="357"/>
        <w:rPr>
          <w:b/>
          <w:szCs w:val="24"/>
        </w:rPr>
      </w:pPr>
      <w:r w:rsidRPr="005A3EC4">
        <w:rPr>
          <w:b/>
          <w:szCs w:val="24"/>
        </w:rPr>
        <w:t>Não Orientadas à Inovação</w:t>
      </w:r>
      <w:r w:rsidRPr="005A3EC4">
        <w:rPr>
          <w:bCs/>
          <w:szCs w:val="24"/>
        </w:rPr>
        <w:t>, aquelas que não realizaram atividades inovativas mesmo declarando não ter enfrentando qualquer tipo de barreira para inovar.</w:t>
      </w:r>
    </w:p>
    <w:p w14:paraId="3E869D1B" w14:textId="77777777" w:rsidR="004C309C" w:rsidRPr="004C309C" w:rsidRDefault="004C309C" w:rsidP="004C309C">
      <w:pPr>
        <w:pStyle w:val="BNDES"/>
        <w:spacing w:after="240"/>
        <w:rPr>
          <w:szCs w:val="24"/>
        </w:rPr>
      </w:pPr>
      <w:r>
        <w:rPr>
          <w:szCs w:val="24"/>
        </w:rPr>
        <w:t>Empresas ativas em inovação (bem sucedidas ou não em inovar) e inovadoras potenciais foram incluídas na análise. Empresas não orientadas à inovação foram excluídas. A Figura 1 ilustra este ponto, e indica que a amostra relevante (grupos marcados em cinza) inclui 30.968 empresas. Por conta do desenho da pesquisa, empresas grandes aparecem em todos os cinco períodos analisados, enquanto as demais são selecionadas por amostragem e eventualmente podem não aparecer em algum período</w:t>
      </w:r>
      <w:r w:rsidRPr="002977AC">
        <w:rPr>
          <w:szCs w:val="24"/>
        </w:rPr>
        <w:t>.</w:t>
      </w:r>
      <w:r>
        <w:rPr>
          <w:szCs w:val="24"/>
        </w:rPr>
        <w:t xml:space="preserve"> Ou seja, a amostra relevante é o que a literatura costuma descrever como um painel desbalanceado de empresas.</w:t>
      </w:r>
      <w:r w:rsidR="004A3B6D">
        <w:rPr>
          <w:szCs w:val="24"/>
        </w:rPr>
        <w:t xml:space="preserve"> Por fim, embora o escopo da PINTEC seja um pouco mais amplo (principalmente nas edições recentes), optou-se por apenas selecionar empresas da indústria de transformação.</w:t>
      </w:r>
    </w:p>
    <w:p w14:paraId="4D45F085" w14:textId="77777777" w:rsidR="007B3F60" w:rsidRDefault="007B3F60" w:rsidP="009E6B1E">
      <w:pPr>
        <w:pStyle w:val="BNDES"/>
        <w:spacing w:before="120"/>
        <w:jc w:val="center"/>
        <w:rPr>
          <w:b/>
          <w:szCs w:val="24"/>
        </w:rPr>
      </w:pPr>
      <w:r>
        <w:rPr>
          <w:b/>
          <w:szCs w:val="24"/>
        </w:rPr>
        <w:br w:type="page"/>
      </w:r>
    </w:p>
    <w:p w14:paraId="0F2904BF" w14:textId="77777777" w:rsidR="00FF179C" w:rsidRPr="002977AC" w:rsidRDefault="00FF179C" w:rsidP="009E6B1E">
      <w:pPr>
        <w:pStyle w:val="BNDES"/>
        <w:spacing w:before="120"/>
        <w:jc w:val="center"/>
        <w:rPr>
          <w:b/>
          <w:szCs w:val="24"/>
        </w:rPr>
      </w:pPr>
      <w:r w:rsidRPr="002977AC">
        <w:rPr>
          <w:b/>
          <w:szCs w:val="24"/>
        </w:rPr>
        <w:lastRenderedPageBreak/>
        <w:t>Figur</w:t>
      </w:r>
      <w:r>
        <w:rPr>
          <w:b/>
          <w:szCs w:val="24"/>
        </w:rPr>
        <w:t>a</w:t>
      </w:r>
      <w:r w:rsidRPr="002977AC">
        <w:rPr>
          <w:b/>
          <w:szCs w:val="24"/>
        </w:rPr>
        <w:t xml:space="preserve"> 1: Classificação das </w:t>
      </w:r>
      <w:r w:rsidR="009E6B1E">
        <w:rPr>
          <w:b/>
          <w:szCs w:val="24"/>
        </w:rPr>
        <w:t>E</w:t>
      </w:r>
      <w:r>
        <w:rPr>
          <w:b/>
          <w:szCs w:val="24"/>
        </w:rPr>
        <w:t xml:space="preserve">mpresas </w:t>
      </w:r>
      <w:r w:rsidRPr="002977AC">
        <w:rPr>
          <w:b/>
          <w:szCs w:val="24"/>
        </w:rPr>
        <w:t>em Relação à Inovação</w:t>
      </w:r>
    </w:p>
    <w:p w14:paraId="33A7D27A" w14:textId="77777777" w:rsidR="00FF179C" w:rsidRPr="002977AC" w:rsidRDefault="00C43DAB" w:rsidP="009E6B1E">
      <w:pPr>
        <w:pStyle w:val="BNDES"/>
        <w:ind w:left="425"/>
        <w:jc w:val="left"/>
        <w:rPr>
          <w:szCs w:val="24"/>
        </w:rPr>
      </w:pPr>
      <w:r>
        <w:rPr>
          <w:b/>
          <w:noProof/>
        </w:rPr>
        <mc:AlternateContent>
          <mc:Choice Requires="wpg">
            <w:drawing>
              <wp:anchor distT="0" distB="0" distL="114300" distR="114300" simplePos="0" relativeHeight="251660288" behindDoc="0" locked="0" layoutInCell="1" allowOverlap="1" wp14:anchorId="39C21FCB" wp14:editId="674A7746">
                <wp:simplePos x="0" y="0"/>
                <wp:positionH relativeFrom="column">
                  <wp:posOffset>4057015</wp:posOffset>
                </wp:positionH>
                <wp:positionV relativeFrom="paragraph">
                  <wp:posOffset>156845</wp:posOffset>
                </wp:positionV>
                <wp:extent cx="1356375" cy="1571625"/>
                <wp:effectExtent l="0" t="0" r="15240" b="28575"/>
                <wp:wrapNone/>
                <wp:docPr id="3" name="Agrupar 3"/>
                <wp:cNvGraphicFramePr/>
                <a:graphic xmlns:a="http://schemas.openxmlformats.org/drawingml/2006/main">
                  <a:graphicData uri="http://schemas.microsoft.com/office/word/2010/wordprocessingGroup">
                    <wpg:wgp>
                      <wpg:cNvGrpSpPr/>
                      <wpg:grpSpPr>
                        <a:xfrm>
                          <a:off x="0" y="0"/>
                          <a:ext cx="1356375" cy="1571625"/>
                          <a:chOff x="0" y="0"/>
                          <a:chExt cx="1356375" cy="1571625"/>
                        </a:xfrm>
                      </wpg:grpSpPr>
                      <wps:wsp>
                        <wps:cNvPr id="1" name="Chave Direita 1"/>
                        <wps:cNvSpPr>
                          <a:spLocks noChangeAspect="1"/>
                        </wps:cNvSpPr>
                        <wps:spPr>
                          <a:xfrm>
                            <a:off x="0" y="0"/>
                            <a:ext cx="313200" cy="1571625"/>
                          </a:xfrm>
                          <a:prstGeom prst="rightBrace">
                            <a:avLst>
                              <a:gd name="adj1" fmla="val 35606"/>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tângulo: Cantos Arredondados 2"/>
                        <wps:cNvSpPr/>
                        <wps:spPr>
                          <a:xfrm>
                            <a:off x="409575" y="552450"/>
                            <a:ext cx="946800" cy="47160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9FDF9" w14:textId="77777777" w:rsidR="002D2C9C" w:rsidRPr="00C43DAB" w:rsidRDefault="002D2C9C" w:rsidP="00F04FD1">
                              <w:pPr>
                                <w:spacing w:line="200" w:lineRule="exact"/>
                                <w:jc w:val="center"/>
                                <w:rPr>
                                  <w:color w:val="000000" w:themeColor="text1"/>
                                  <w:sz w:val="20"/>
                                  <w:szCs w:val="20"/>
                                </w:rPr>
                              </w:pPr>
                              <w:r w:rsidRPr="00C43DAB">
                                <w:rPr>
                                  <w:color w:val="000000" w:themeColor="text1"/>
                                  <w:sz w:val="20"/>
                                  <w:szCs w:val="20"/>
                                </w:rPr>
                                <w:t>Orientadas</w:t>
                              </w:r>
                              <w:r>
                                <w:rPr>
                                  <w:color w:val="000000" w:themeColor="text1"/>
                                  <w:sz w:val="20"/>
                                  <w:szCs w:val="20"/>
                                </w:rPr>
                                <w:t xml:space="preserve"> </w:t>
                              </w:r>
                              <w:r w:rsidRPr="00C43DAB">
                                <w:rPr>
                                  <w:color w:val="000000" w:themeColor="text1"/>
                                  <w:sz w:val="20"/>
                                  <w:szCs w:val="20"/>
                                </w:rPr>
                                <w:t>à Inovação</w:t>
                              </w:r>
                            </w:p>
                            <w:p w14:paraId="3AF138FC" w14:textId="77777777" w:rsidR="002D2C9C" w:rsidRPr="00C43DAB" w:rsidRDefault="002D2C9C" w:rsidP="00C43DAB">
                              <w:pPr>
                                <w:jc w:val="center"/>
                                <w:rPr>
                                  <w:color w:val="000000" w:themeColor="text1"/>
                                  <w:sz w:val="20"/>
                                  <w:szCs w:val="20"/>
                                </w:rPr>
                              </w:pPr>
                              <w:r w:rsidRPr="00C43DAB">
                                <w:rPr>
                                  <w:color w:val="000000" w:themeColor="text1"/>
                                  <w:sz w:val="20"/>
                                  <w:szCs w:val="20"/>
                                </w:rPr>
                                <w:t>(30</w:t>
                              </w:r>
                              <w:r>
                                <w:rPr>
                                  <w:color w:val="000000" w:themeColor="text1"/>
                                  <w:sz w:val="20"/>
                                  <w:szCs w:val="20"/>
                                </w:rPr>
                                <w:t>.</w:t>
                              </w:r>
                              <w:r w:rsidRPr="00C43DAB">
                                <w:rPr>
                                  <w:color w:val="000000" w:themeColor="text1"/>
                                  <w:sz w:val="20"/>
                                  <w:szCs w:val="20"/>
                                </w:rPr>
                                <w:t>968)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Agrupar 3" o:spid="_x0000_s1026" style="position:absolute;left:0;text-align:left;margin-left:319.45pt;margin-top:12.35pt;width:106.8pt;height:123.75pt;z-index:251660288" coordsize="13563,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1" o:spid="_x0000_s1027" type="#_x0000_t88" style="position:absolute;width:3132;height:15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" adj="1533" strokecolor="black [3213]" strokeweight="1.5pt">
                  <o:lock v:ext="edit" aspectratio="t"/>
                </v:shape>
                <v:roundrect id="Retângulo: Cantos Arredondados 2" o:spid="_x0000_s1028" style="position:absolute;left:4095;top:5524;width:9468;height:4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" fillcolor="#bfbfbf [2412]" strokecolor="black [3213]" strokeweight="2pt">
                  <v:textbox inset="0,0,0,0">
                    <w:txbxContent>
                      <w:p w:rsidR="002D2C9C" w:rsidRPr="00C43DAB" w:rsidRDefault="002D2C9C" w:rsidP="00F04FD1">
                        <w:pPr>
                          <w:spacing w:line="200" w:lineRule="exact"/>
                          <w:jc w:val="center"/>
                          <w:rPr>
                            <w:color w:val="000000" w:themeColor="text1"/>
                            <w:sz w:val="20"/>
                            <w:szCs w:val="20"/>
                          </w:rPr>
                        </w:pPr>
                        <w:r w:rsidRPr="00C43DAB">
                          <w:rPr>
                            <w:color w:val="000000" w:themeColor="text1"/>
                            <w:sz w:val="20"/>
                            <w:szCs w:val="20"/>
                          </w:rPr>
                          <w:t>Orientadas</w:t>
                        </w:r>
                        <w:r>
                          <w:rPr>
                            <w:color w:val="000000" w:themeColor="text1"/>
                            <w:sz w:val="20"/>
                            <w:szCs w:val="20"/>
                          </w:rPr>
                          <w:t xml:space="preserve"> </w:t>
                        </w:r>
                        <w:r w:rsidRPr="00C43DAB">
                          <w:rPr>
                            <w:color w:val="000000" w:themeColor="text1"/>
                            <w:sz w:val="20"/>
                            <w:szCs w:val="20"/>
                          </w:rPr>
                          <w:t>à Inovação</w:t>
                        </w:r>
                      </w:p>
                      <w:p w:rsidR="002D2C9C" w:rsidRPr="00C43DAB" w:rsidRDefault="002D2C9C" w:rsidP="00C43DAB">
                        <w:pPr>
                          <w:jc w:val="center"/>
                          <w:rPr>
                            <w:color w:val="000000" w:themeColor="text1"/>
                            <w:sz w:val="20"/>
                            <w:szCs w:val="20"/>
                          </w:rPr>
                        </w:pPr>
                        <w:r w:rsidRPr="00C43DAB">
                          <w:rPr>
                            <w:color w:val="000000" w:themeColor="text1"/>
                            <w:sz w:val="20"/>
                            <w:szCs w:val="20"/>
                          </w:rPr>
                          <w:t>(30</w:t>
                        </w:r>
                        <w:r>
                          <w:rPr>
                            <w:color w:val="000000" w:themeColor="text1"/>
                            <w:sz w:val="20"/>
                            <w:szCs w:val="20"/>
                          </w:rPr>
                          <w:t>.</w:t>
                        </w:r>
                        <w:r w:rsidRPr="00C43DAB">
                          <w:rPr>
                            <w:color w:val="000000" w:themeColor="text1"/>
                            <w:sz w:val="20"/>
                            <w:szCs w:val="20"/>
                          </w:rPr>
                          <w:t>968)</w:t>
                        </w:r>
                      </w:p>
                    </w:txbxContent>
                  </v:textbox>
                </v:roundrect>
              </v:group>
            </w:pict>
          </mc:Fallback>
        </mc:AlternateContent>
      </w:r>
      <w:r w:rsidR="00FF179C" w:rsidRPr="002977AC">
        <w:rPr>
          <w:b/>
          <w:noProof/>
        </w:rPr>
        <w:drawing>
          <wp:inline distT="0" distB="0" distL="0" distR="0" wp14:anchorId="2ECEB20A" wp14:editId="4A90FBE7">
            <wp:extent cx="3597599" cy="2422915"/>
            <wp:effectExtent l="0" t="0" r="60325" b="0"/>
            <wp:docPr id="8" name="Diagrama 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4269E9" w14:textId="10F90655" w:rsidR="00FF179C" w:rsidRPr="00B84249" w:rsidRDefault="00FF179C" w:rsidP="003E6BC3">
      <w:pPr>
        <w:pStyle w:val="BNDES"/>
        <w:spacing w:after="480"/>
        <w:rPr>
          <w:sz w:val="20"/>
          <w:szCs w:val="20"/>
        </w:rPr>
      </w:pPr>
      <w:r w:rsidRPr="00B84249">
        <w:rPr>
          <w:sz w:val="20"/>
          <w:szCs w:val="20"/>
        </w:rPr>
        <w:t xml:space="preserve">Fonte: </w:t>
      </w:r>
      <w:r w:rsidR="00B84249" w:rsidRPr="00B84249">
        <w:rPr>
          <w:noProof/>
          <w:sz w:val="20"/>
          <w:szCs w:val="20"/>
        </w:rPr>
        <w:t>Cânedo-</w:t>
      </w:r>
      <w:r w:rsidR="0098399D">
        <w:rPr>
          <w:noProof/>
          <w:sz w:val="20"/>
          <w:szCs w:val="20"/>
        </w:rPr>
        <w:t>Pinheiro, Lage de Sousa &amp;</w:t>
      </w:r>
      <w:r w:rsidR="00B84249">
        <w:rPr>
          <w:noProof/>
          <w:sz w:val="20"/>
          <w:szCs w:val="20"/>
        </w:rPr>
        <w:t xml:space="preserve"> </w:t>
      </w:r>
      <w:r w:rsidR="000B5D18">
        <w:rPr>
          <w:noProof/>
          <w:sz w:val="20"/>
          <w:szCs w:val="20"/>
        </w:rPr>
        <w:t>Oliveira</w:t>
      </w:r>
      <w:r w:rsidR="00B84249" w:rsidRPr="00B84249">
        <w:rPr>
          <w:noProof/>
          <w:sz w:val="20"/>
          <w:szCs w:val="20"/>
        </w:rPr>
        <w:t xml:space="preserve"> </w:t>
      </w:r>
      <w:r w:rsidR="00B84249">
        <w:rPr>
          <w:noProof/>
          <w:sz w:val="20"/>
          <w:szCs w:val="20"/>
        </w:rPr>
        <w:t>(</w:t>
      </w:r>
      <w:r w:rsidR="00B84249" w:rsidRPr="00B84249">
        <w:rPr>
          <w:noProof/>
          <w:sz w:val="20"/>
          <w:szCs w:val="20"/>
        </w:rPr>
        <w:t>201</w:t>
      </w:r>
      <w:r w:rsidR="000B5D18">
        <w:rPr>
          <w:noProof/>
          <w:sz w:val="20"/>
          <w:szCs w:val="20"/>
        </w:rPr>
        <w:t>8</w:t>
      </w:r>
      <w:r w:rsidR="00B84249">
        <w:rPr>
          <w:noProof/>
          <w:sz w:val="20"/>
          <w:szCs w:val="20"/>
        </w:rPr>
        <w:t>), a partir de dados da PINTEC.</w:t>
      </w:r>
    </w:p>
    <w:p w14:paraId="36E5F672" w14:textId="77777777" w:rsidR="00D354A9" w:rsidRPr="002977AC" w:rsidRDefault="00D354A9" w:rsidP="00D354A9">
      <w:pPr>
        <w:pStyle w:val="BNDES"/>
        <w:spacing w:after="240"/>
        <w:rPr>
          <w:szCs w:val="24"/>
        </w:rPr>
      </w:pPr>
      <w:r w:rsidRPr="002977AC">
        <w:rPr>
          <w:b/>
          <w:szCs w:val="24"/>
        </w:rPr>
        <w:t xml:space="preserve">Se não é </w:t>
      </w:r>
      <w:r w:rsidR="00AE2EC1">
        <w:rPr>
          <w:b/>
          <w:szCs w:val="24"/>
        </w:rPr>
        <w:t xml:space="preserve">apenas </w:t>
      </w:r>
      <w:r w:rsidRPr="002977AC">
        <w:rPr>
          <w:b/>
          <w:szCs w:val="24"/>
        </w:rPr>
        <w:t>dinheiro, o que mais pode ser?</w:t>
      </w:r>
    </w:p>
    <w:p w14:paraId="2F2C5559" w14:textId="3C749C42" w:rsidR="00D354A9" w:rsidRPr="00267502" w:rsidRDefault="00D354A9" w:rsidP="00D354A9">
      <w:pPr>
        <w:pStyle w:val="BNDES"/>
        <w:spacing w:after="240"/>
        <w:rPr>
          <w:szCs w:val="24"/>
        </w:rPr>
      </w:pPr>
      <w:r w:rsidRPr="00267502">
        <w:rPr>
          <w:szCs w:val="24"/>
        </w:rPr>
        <w:t xml:space="preserve">A PINTEC possui perguntas específicas </w:t>
      </w:r>
      <w:r w:rsidR="00806227">
        <w:rPr>
          <w:szCs w:val="24"/>
        </w:rPr>
        <w:t xml:space="preserve">sobre os obstáculos à inovação, </w:t>
      </w:r>
      <w:r w:rsidRPr="00267502">
        <w:rPr>
          <w:szCs w:val="24"/>
        </w:rPr>
        <w:t xml:space="preserve">em que as </w:t>
      </w:r>
      <w:r w:rsidR="00806227">
        <w:rPr>
          <w:szCs w:val="24"/>
        </w:rPr>
        <w:t xml:space="preserve">empresas </w:t>
      </w:r>
      <w:r w:rsidRPr="00267502">
        <w:rPr>
          <w:szCs w:val="24"/>
        </w:rPr>
        <w:t xml:space="preserve">atribuem grau de </w:t>
      </w:r>
      <w:r w:rsidR="009545F7">
        <w:rPr>
          <w:szCs w:val="24"/>
        </w:rPr>
        <w:t>importância</w:t>
      </w:r>
      <w:r w:rsidRPr="00267502">
        <w:rPr>
          <w:szCs w:val="24"/>
        </w:rPr>
        <w:t xml:space="preserve"> (alta, média, baixa ou não relevante) </w:t>
      </w:r>
      <w:r w:rsidR="00566E07">
        <w:rPr>
          <w:szCs w:val="24"/>
        </w:rPr>
        <w:t>a</w:t>
      </w:r>
      <w:r w:rsidR="009545F7">
        <w:rPr>
          <w:szCs w:val="24"/>
        </w:rPr>
        <w:t xml:space="preserve"> </w:t>
      </w:r>
      <w:r w:rsidR="00E5357B">
        <w:rPr>
          <w:szCs w:val="24"/>
        </w:rPr>
        <w:t>onze</w:t>
      </w:r>
      <w:r w:rsidRPr="00267502">
        <w:rPr>
          <w:szCs w:val="24"/>
        </w:rPr>
        <w:t xml:space="preserve"> </w:t>
      </w:r>
      <w:r w:rsidR="009545F7">
        <w:rPr>
          <w:szCs w:val="24"/>
        </w:rPr>
        <w:t>barreiras</w:t>
      </w:r>
      <w:r w:rsidRPr="00267502">
        <w:rPr>
          <w:szCs w:val="24"/>
        </w:rPr>
        <w:t>.</w:t>
      </w:r>
      <w:r w:rsidR="00CF5AD9">
        <w:rPr>
          <w:rStyle w:val="Refdenotaderodap"/>
          <w:szCs w:val="24"/>
        </w:rPr>
        <w:footnoteReference w:id="4"/>
      </w:r>
      <w:r w:rsidRPr="00267502">
        <w:rPr>
          <w:szCs w:val="24"/>
        </w:rPr>
        <w:t xml:space="preserve"> </w:t>
      </w:r>
      <w:r w:rsidR="00806227">
        <w:rPr>
          <w:szCs w:val="24"/>
        </w:rPr>
        <w:t>Seguindo a literatura da área, e</w:t>
      </w:r>
      <w:r w:rsidRPr="00267502">
        <w:rPr>
          <w:szCs w:val="24"/>
        </w:rPr>
        <w:t xml:space="preserve">sses </w:t>
      </w:r>
      <w:r w:rsidR="00E5357B">
        <w:rPr>
          <w:szCs w:val="24"/>
        </w:rPr>
        <w:t xml:space="preserve">onze </w:t>
      </w:r>
      <w:r w:rsidR="009545F7">
        <w:rPr>
          <w:szCs w:val="24"/>
        </w:rPr>
        <w:t xml:space="preserve">obstáculos </w:t>
      </w:r>
      <w:r w:rsidRPr="00267502">
        <w:rPr>
          <w:szCs w:val="24"/>
        </w:rPr>
        <w:t xml:space="preserve">foram agrupados </w:t>
      </w:r>
      <w:r w:rsidR="00806227">
        <w:rPr>
          <w:szCs w:val="24"/>
        </w:rPr>
        <w:t xml:space="preserve">em </w:t>
      </w:r>
      <w:r w:rsidRPr="00267502">
        <w:rPr>
          <w:szCs w:val="24"/>
        </w:rPr>
        <w:t>cinco categorias, conforme descrito abaixo:</w:t>
      </w:r>
    </w:p>
    <w:p w14:paraId="52D2FA51" w14:textId="77777777" w:rsidR="00D354A9" w:rsidRPr="00267502" w:rsidRDefault="00806227" w:rsidP="009536CF">
      <w:pPr>
        <w:pStyle w:val="BNDES"/>
        <w:numPr>
          <w:ilvl w:val="0"/>
          <w:numId w:val="27"/>
        </w:numPr>
        <w:spacing w:after="120"/>
        <w:ind w:left="357" w:hanging="357"/>
        <w:rPr>
          <w:szCs w:val="24"/>
        </w:rPr>
      </w:pPr>
      <w:r>
        <w:rPr>
          <w:b/>
          <w:szCs w:val="24"/>
        </w:rPr>
        <w:t xml:space="preserve">Obstáculos </w:t>
      </w:r>
      <w:r w:rsidR="00D354A9" w:rsidRPr="00267502">
        <w:rPr>
          <w:b/>
          <w:szCs w:val="24"/>
        </w:rPr>
        <w:t>Financeir</w:t>
      </w:r>
      <w:r>
        <w:rPr>
          <w:b/>
          <w:szCs w:val="24"/>
        </w:rPr>
        <w:t>os</w:t>
      </w:r>
      <w:r w:rsidR="00D354A9" w:rsidRPr="00267502">
        <w:rPr>
          <w:szCs w:val="24"/>
        </w:rPr>
        <w:t>: riscos econômicos excessivos, elevados custos da inovação, escassez de fontes apropriadas de financiamento;</w:t>
      </w:r>
    </w:p>
    <w:p w14:paraId="02D9DE1B" w14:textId="77777777" w:rsidR="00D354A9" w:rsidRPr="00267502" w:rsidRDefault="00806227" w:rsidP="009536CF">
      <w:pPr>
        <w:pStyle w:val="BNDES"/>
        <w:numPr>
          <w:ilvl w:val="0"/>
          <w:numId w:val="27"/>
        </w:numPr>
        <w:spacing w:after="120"/>
        <w:ind w:left="357" w:hanging="357"/>
        <w:rPr>
          <w:szCs w:val="24"/>
        </w:rPr>
      </w:pPr>
      <w:r>
        <w:rPr>
          <w:b/>
          <w:szCs w:val="24"/>
        </w:rPr>
        <w:t xml:space="preserve">Obstáculos de </w:t>
      </w:r>
      <w:r w:rsidR="00D354A9" w:rsidRPr="00267502">
        <w:rPr>
          <w:b/>
          <w:szCs w:val="24"/>
        </w:rPr>
        <w:t>Conhecimento</w:t>
      </w:r>
      <w:r w:rsidR="00D354A9" w:rsidRPr="00267502">
        <w:rPr>
          <w:szCs w:val="24"/>
        </w:rPr>
        <w:t>: falta de pessoal qualificado, falta de informação sobre tecnologia, falta de informação sobre mercados, escassez de serviços técnicos externos adequados, escassas possibilidades de cooperação com outras empresas/instituições;</w:t>
      </w:r>
    </w:p>
    <w:p w14:paraId="7B2A5BC4" w14:textId="77777777" w:rsidR="00D354A9" w:rsidRPr="00267502" w:rsidRDefault="00806227" w:rsidP="009536CF">
      <w:pPr>
        <w:pStyle w:val="BNDES"/>
        <w:numPr>
          <w:ilvl w:val="0"/>
          <w:numId w:val="27"/>
        </w:numPr>
        <w:spacing w:after="120"/>
        <w:ind w:left="357" w:hanging="357"/>
        <w:rPr>
          <w:szCs w:val="24"/>
        </w:rPr>
      </w:pPr>
      <w:r>
        <w:rPr>
          <w:b/>
          <w:szCs w:val="24"/>
        </w:rPr>
        <w:t xml:space="preserve">Obstáculos de </w:t>
      </w:r>
      <w:r w:rsidR="00D354A9" w:rsidRPr="00267502">
        <w:rPr>
          <w:b/>
          <w:szCs w:val="24"/>
        </w:rPr>
        <w:t>Mercado</w:t>
      </w:r>
      <w:r w:rsidR="00D354A9" w:rsidRPr="00267502">
        <w:rPr>
          <w:szCs w:val="24"/>
        </w:rPr>
        <w:t>: fraca resposta dos consumidores quanto a novos produtos;</w:t>
      </w:r>
    </w:p>
    <w:p w14:paraId="230F639F" w14:textId="77777777" w:rsidR="00D354A9" w:rsidRPr="00267502" w:rsidRDefault="00806227" w:rsidP="009536CF">
      <w:pPr>
        <w:pStyle w:val="BNDES"/>
        <w:numPr>
          <w:ilvl w:val="0"/>
          <w:numId w:val="27"/>
        </w:numPr>
        <w:spacing w:after="120"/>
        <w:ind w:left="357" w:hanging="357"/>
        <w:rPr>
          <w:szCs w:val="24"/>
        </w:rPr>
      </w:pPr>
      <w:r>
        <w:rPr>
          <w:b/>
          <w:szCs w:val="24"/>
        </w:rPr>
        <w:t xml:space="preserve">Obstáculos </w:t>
      </w:r>
      <w:r w:rsidR="00D354A9" w:rsidRPr="00267502">
        <w:rPr>
          <w:b/>
          <w:szCs w:val="24"/>
        </w:rPr>
        <w:t>Organizaciona</w:t>
      </w:r>
      <w:r>
        <w:rPr>
          <w:b/>
          <w:szCs w:val="24"/>
        </w:rPr>
        <w:t>is</w:t>
      </w:r>
      <w:r w:rsidR="00D354A9" w:rsidRPr="00267502">
        <w:rPr>
          <w:szCs w:val="24"/>
        </w:rPr>
        <w:t>: rigidez organizacional, centralização da atividade inovadora em outra empresa do grupo;</w:t>
      </w:r>
    </w:p>
    <w:p w14:paraId="206D8715" w14:textId="77777777" w:rsidR="00D354A9" w:rsidRPr="00267502" w:rsidRDefault="00806227" w:rsidP="00E42A1A">
      <w:pPr>
        <w:pStyle w:val="BNDES"/>
        <w:numPr>
          <w:ilvl w:val="0"/>
          <w:numId w:val="27"/>
        </w:numPr>
        <w:spacing w:after="240"/>
        <w:ind w:left="357" w:hanging="357"/>
        <w:rPr>
          <w:szCs w:val="24"/>
        </w:rPr>
      </w:pPr>
      <w:r>
        <w:rPr>
          <w:b/>
          <w:szCs w:val="24"/>
        </w:rPr>
        <w:t xml:space="preserve">Obstáculos </w:t>
      </w:r>
      <w:r w:rsidR="00D354A9" w:rsidRPr="00267502">
        <w:rPr>
          <w:b/>
          <w:szCs w:val="24"/>
        </w:rPr>
        <w:t>Regulatóri</w:t>
      </w:r>
      <w:r>
        <w:rPr>
          <w:b/>
          <w:szCs w:val="24"/>
        </w:rPr>
        <w:t>os</w:t>
      </w:r>
      <w:r w:rsidR="00D354A9" w:rsidRPr="00267502">
        <w:rPr>
          <w:szCs w:val="24"/>
        </w:rPr>
        <w:t>: dificuldade para se adequar a padrões, normas e regulamentações.</w:t>
      </w:r>
    </w:p>
    <w:p w14:paraId="24E3EC93" w14:textId="77777777" w:rsidR="00A603ED" w:rsidRDefault="00A603ED" w:rsidP="003E18A8">
      <w:pPr>
        <w:pStyle w:val="BNDES"/>
        <w:spacing w:after="240"/>
        <w:rPr>
          <w:szCs w:val="24"/>
        </w:rPr>
      </w:pPr>
      <w:r>
        <w:rPr>
          <w:szCs w:val="24"/>
        </w:rPr>
        <w:t>Considerou-se que uma empresa enfrenta determinado obstáculo se ela atribui alta importância a um dos itens que o compõe.</w:t>
      </w:r>
      <w:r w:rsidR="003E18A8" w:rsidRPr="00267502">
        <w:rPr>
          <w:szCs w:val="24"/>
        </w:rPr>
        <w:t xml:space="preserve"> </w:t>
      </w:r>
      <w:r>
        <w:rPr>
          <w:szCs w:val="24"/>
        </w:rPr>
        <w:t xml:space="preserve">Por exemplo, se uma empresa atribui alta relevância aos riscos econômicos excessivos, aos elevados custos da inovação ou à escassez de financiamento, define-se que ela enfrenta barreiras financeiras à inovação. Ressalte-se que os resultados descritos nesta nota não se alteram substancialmente quando usamos estratégias </w:t>
      </w:r>
      <w:r w:rsidR="00B62373">
        <w:rPr>
          <w:szCs w:val="24"/>
        </w:rPr>
        <w:t>alternativas</w:t>
      </w:r>
      <w:r>
        <w:rPr>
          <w:szCs w:val="24"/>
        </w:rPr>
        <w:t xml:space="preserve"> para definir se uma empresa enfrenta ou não enfrenta barreiras à inovação</w:t>
      </w:r>
      <w:r w:rsidR="00B62373" w:rsidRPr="00B62373">
        <w:rPr>
          <w:szCs w:val="24"/>
        </w:rPr>
        <w:t>.</w:t>
      </w:r>
      <w:r>
        <w:rPr>
          <w:szCs w:val="24"/>
        </w:rPr>
        <w:t xml:space="preserve"> </w:t>
      </w:r>
    </w:p>
    <w:p w14:paraId="56F782DE" w14:textId="77777777" w:rsidR="0047224D" w:rsidRDefault="003E18A8" w:rsidP="00D71C5C">
      <w:pPr>
        <w:pStyle w:val="BNDES"/>
        <w:spacing w:after="240"/>
        <w:rPr>
          <w:szCs w:val="24"/>
        </w:rPr>
      </w:pPr>
      <w:r w:rsidRPr="00267502">
        <w:rPr>
          <w:szCs w:val="24"/>
        </w:rPr>
        <w:t xml:space="preserve">A Tabela </w:t>
      </w:r>
      <w:r w:rsidR="00B55372">
        <w:rPr>
          <w:szCs w:val="24"/>
        </w:rPr>
        <w:t>2</w:t>
      </w:r>
      <w:r w:rsidRPr="00267502">
        <w:rPr>
          <w:szCs w:val="24"/>
        </w:rPr>
        <w:t xml:space="preserve"> </w:t>
      </w:r>
      <w:r w:rsidR="00D71C5C">
        <w:rPr>
          <w:szCs w:val="24"/>
        </w:rPr>
        <w:t xml:space="preserve">descreve a prevalência de barreiras à inovação </w:t>
      </w:r>
      <w:r w:rsidRPr="00267502">
        <w:rPr>
          <w:szCs w:val="24"/>
        </w:rPr>
        <w:t xml:space="preserve">na amostra </w:t>
      </w:r>
      <w:r w:rsidR="00D71C5C">
        <w:rPr>
          <w:szCs w:val="24"/>
        </w:rPr>
        <w:t>de empresas utilizada</w:t>
      </w:r>
      <w:r w:rsidRPr="00267502">
        <w:rPr>
          <w:szCs w:val="24"/>
        </w:rPr>
        <w:t xml:space="preserve">. </w:t>
      </w:r>
      <w:r w:rsidR="002E5E32">
        <w:rPr>
          <w:szCs w:val="24"/>
        </w:rPr>
        <w:t>Os obstáculos financeiros têm maior prevalência, como esperado: 38,7% das observações</w:t>
      </w:r>
      <w:r w:rsidR="005E39E7">
        <w:rPr>
          <w:szCs w:val="24"/>
        </w:rPr>
        <w:t xml:space="preserve"> relativas a empresas orientadas à inovação</w:t>
      </w:r>
      <w:r w:rsidR="002E5E32">
        <w:rPr>
          <w:szCs w:val="24"/>
        </w:rPr>
        <w:t>.</w:t>
      </w:r>
      <w:r w:rsidR="002E5E32">
        <w:rPr>
          <w:rStyle w:val="Refdenotaderodap"/>
          <w:szCs w:val="24"/>
        </w:rPr>
        <w:footnoteReference w:id="5"/>
      </w:r>
      <w:r w:rsidR="002E5E32">
        <w:rPr>
          <w:szCs w:val="24"/>
        </w:rPr>
        <w:t xml:space="preserve"> </w:t>
      </w:r>
      <w:r w:rsidR="00D71C5C" w:rsidRPr="00E8083A">
        <w:rPr>
          <w:szCs w:val="24"/>
        </w:rPr>
        <w:t xml:space="preserve">Mais ainda, as diferenças entre inovadoras </w:t>
      </w:r>
      <w:r w:rsidR="00D71C5C" w:rsidRPr="00E8083A">
        <w:rPr>
          <w:szCs w:val="24"/>
        </w:rPr>
        <w:lastRenderedPageBreak/>
        <w:t>potencia</w:t>
      </w:r>
      <w:r w:rsidR="005E39E7">
        <w:rPr>
          <w:szCs w:val="24"/>
        </w:rPr>
        <w:t>is</w:t>
      </w:r>
      <w:r w:rsidR="00D71C5C" w:rsidRPr="00E8083A">
        <w:rPr>
          <w:szCs w:val="24"/>
        </w:rPr>
        <w:t xml:space="preserve"> e as inovadoras são ainda mais evidentes no aspecto financeiro do que </w:t>
      </w:r>
      <w:r w:rsidR="005E39E7">
        <w:rPr>
          <w:szCs w:val="24"/>
        </w:rPr>
        <w:t xml:space="preserve">em </w:t>
      </w:r>
      <w:r w:rsidR="00D71C5C" w:rsidRPr="00E8083A">
        <w:rPr>
          <w:szCs w:val="24"/>
        </w:rPr>
        <w:t xml:space="preserve">qualquer outra barreira. </w:t>
      </w:r>
    </w:p>
    <w:p w14:paraId="706452B7" w14:textId="609B5E5A" w:rsidR="00636106" w:rsidRPr="00E8083A" w:rsidRDefault="0047224D" w:rsidP="00D71C5C">
      <w:pPr>
        <w:pStyle w:val="BNDES"/>
        <w:spacing w:after="240"/>
        <w:rPr>
          <w:szCs w:val="24"/>
        </w:rPr>
      </w:pPr>
      <w:r>
        <w:rPr>
          <w:szCs w:val="24"/>
        </w:rPr>
        <w:t>Entretanto, os obstáculos de conhecimento, também tem uma prevalência importante: 20,6% das observações relativas a empresas orientadas à inovação. Chama atenção em especial o obstáculo associado à falta de pessoal qualificado: 12,4% das observações e</w:t>
      </w:r>
      <w:r w:rsidR="004E04E9">
        <w:rPr>
          <w:szCs w:val="24"/>
        </w:rPr>
        <w:t xml:space="preserve">, de acordo com </w:t>
      </w:r>
      <w:r w:rsidR="00C75C29">
        <w:rPr>
          <w:szCs w:val="24"/>
        </w:rPr>
        <w:t xml:space="preserve">a Tabela </w:t>
      </w:r>
      <w:r w:rsidR="00566E07">
        <w:rPr>
          <w:szCs w:val="24"/>
        </w:rPr>
        <w:t>2</w:t>
      </w:r>
      <w:r w:rsidR="004E04E9">
        <w:rPr>
          <w:szCs w:val="24"/>
        </w:rPr>
        <w:t xml:space="preserve">, </w:t>
      </w:r>
      <w:r>
        <w:rPr>
          <w:szCs w:val="24"/>
        </w:rPr>
        <w:t xml:space="preserve">com </w:t>
      </w:r>
      <w:r w:rsidR="003C2901">
        <w:rPr>
          <w:szCs w:val="24"/>
        </w:rPr>
        <w:t xml:space="preserve">viés de alta </w:t>
      </w:r>
      <w:r w:rsidR="00C75C29">
        <w:rPr>
          <w:szCs w:val="24"/>
        </w:rPr>
        <w:t>no período 2000-2014</w:t>
      </w:r>
      <w:r>
        <w:rPr>
          <w:szCs w:val="24"/>
        </w:rPr>
        <w:t>.</w:t>
      </w:r>
      <w:r w:rsidR="00E55129">
        <w:rPr>
          <w:szCs w:val="24"/>
        </w:rPr>
        <w:t xml:space="preserve"> </w:t>
      </w:r>
      <w:r w:rsidR="00636106">
        <w:rPr>
          <w:szCs w:val="24"/>
        </w:rPr>
        <w:t xml:space="preserve">Os demais obstáculos têm prevalência menor e, por isso, </w:t>
      </w:r>
      <w:r w:rsidR="00A93AC7">
        <w:rPr>
          <w:szCs w:val="24"/>
        </w:rPr>
        <w:t>serão objeto de menos atenção nesta nota.</w:t>
      </w:r>
    </w:p>
    <w:p w14:paraId="53C62F0A" w14:textId="77777777" w:rsidR="003E18A8" w:rsidRPr="00BB1198" w:rsidRDefault="003E18A8" w:rsidP="00E55129">
      <w:pPr>
        <w:pStyle w:val="BNDES"/>
        <w:spacing w:after="120"/>
        <w:jc w:val="center"/>
        <w:rPr>
          <w:b/>
          <w:szCs w:val="24"/>
        </w:rPr>
      </w:pPr>
      <w:r w:rsidRPr="00BB1198">
        <w:rPr>
          <w:b/>
          <w:szCs w:val="24"/>
        </w:rPr>
        <w:t xml:space="preserve">Tabela </w:t>
      </w:r>
      <w:r w:rsidR="00C75C29">
        <w:rPr>
          <w:b/>
          <w:szCs w:val="24"/>
        </w:rPr>
        <w:t>2</w:t>
      </w:r>
      <w:r w:rsidRPr="00BB1198">
        <w:rPr>
          <w:b/>
          <w:szCs w:val="24"/>
        </w:rPr>
        <w:t xml:space="preserve">: </w:t>
      </w:r>
      <w:r w:rsidR="00E96466">
        <w:rPr>
          <w:b/>
          <w:szCs w:val="24"/>
        </w:rPr>
        <w:t>Prevalência dos Obstáculos à Inovação</w:t>
      </w:r>
      <w:r w:rsidRPr="00BB1198">
        <w:rPr>
          <w:b/>
          <w:szCs w:val="24"/>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190"/>
        <w:gridCol w:w="1191"/>
        <w:gridCol w:w="1190"/>
        <w:gridCol w:w="1191"/>
        <w:gridCol w:w="1191"/>
      </w:tblGrid>
      <w:tr w:rsidR="003B4358" w:rsidRPr="00E96466" w14:paraId="556884C2" w14:textId="77777777" w:rsidTr="00E64332">
        <w:tc>
          <w:tcPr>
            <w:tcW w:w="3261" w:type="dxa"/>
            <w:tcBorders>
              <w:top w:val="single" w:sz="4" w:space="0" w:color="auto"/>
              <w:bottom w:val="single" w:sz="8" w:space="0" w:color="auto"/>
            </w:tcBorders>
            <w:shd w:val="clear" w:color="auto" w:fill="auto"/>
            <w:vAlign w:val="center"/>
          </w:tcPr>
          <w:p w14:paraId="75077682" w14:textId="77777777" w:rsidR="003E18A8" w:rsidRPr="00E96466" w:rsidRDefault="003E18A8" w:rsidP="00AE5553">
            <w:pPr>
              <w:tabs>
                <w:tab w:val="left" w:pos="227"/>
                <w:tab w:val="left" w:pos="284"/>
                <w:tab w:val="left" w:pos="397"/>
                <w:tab w:val="left" w:pos="567"/>
              </w:tabs>
              <w:spacing w:before="40" w:after="40"/>
              <w:jc w:val="both"/>
              <w:rPr>
                <w:b/>
                <w:sz w:val="18"/>
                <w:szCs w:val="18"/>
              </w:rPr>
            </w:pPr>
          </w:p>
        </w:tc>
        <w:tc>
          <w:tcPr>
            <w:tcW w:w="1190" w:type="dxa"/>
            <w:tcBorders>
              <w:top w:val="single" w:sz="4" w:space="0" w:color="auto"/>
              <w:bottom w:val="single" w:sz="8" w:space="0" w:color="auto"/>
            </w:tcBorders>
            <w:shd w:val="clear" w:color="auto" w:fill="auto"/>
            <w:vAlign w:val="center"/>
          </w:tcPr>
          <w:p w14:paraId="3A5A5E4D" w14:textId="77777777" w:rsidR="003E18A8" w:rsidRPr="00E96466" w:rsidRDefault="003E18A8" w:rsidP="00651C17">
            <w:pPr>
              <w:tabs>
                <w:tab w:val="left" w:pos="227"/>
                <w:tab w:val="left" w:pos="284"/>
                <w:tab w:val="left" w:pos="397"/>
                <w:tab w:val="left" w:pos="567"/>
              </w:tabs>
              <w:spacing w:before="40" w:after="40"/>
              <w:jc w:val="center"/>
              <w:rPr>
                <w:b/>
                <w:sz w:val="18"/>
                <w:szCs w:val="18"/>
              </w:rPr>
            </w:pPr>
            <w:r w:rsidRPr="00E96466">
              <w:rPr>
                <w:b/>
                <w:sz w:val="18"/>
                <w:szCs w:val="18"/>
              </w:rPr>
              <w:t>Inovadoras</w:t>
            </w:r>
          </w:p>
        </w:tc>
        <w:tc>
          <w:tcPr>
            <w:tcW w:w="1191" w:type="dxa"/>
            <w:tcBorders>
              <w:top w:val="single" w:sz="4" w:space="0" w:color="auto"/>
              <w:bottom w:val="single" w:sz="8" w:space="0" w:color="auto"/>
            </w:tcBorders>
            <w:shd w:val="clear" w:color="auto" w:fill="auto"/>
            <w:vAlign w:val="center"/>
          </w:tcPr>
          <w:p w14:paraId="37E07A3A" w14:textId="77777777" w:rsidR="003E18A8" w:rsidRPr="00E96466" w:rsidRDefault="003E18A8" w:rsidP="00651C17">
            <w:pPr>
              <w:tabs>
                <w:tab w:val="left" w:pos="227"/>
                <w:tab w:val="left" w:pos="284"/>
                <w:tab w:val="left" w:pos="397"/>
                <w:tab w:val="left" w:pos="567"/>
              </w:tabs>
              <w:spacing w:before="40" w:after="40"/>
              <w:jc w:val="center"/>
              <w:rPr>
                <w:b/>
                <w:sz w:val="18"/>
                <w:szCs w:val="18"/>
              </w:rPr>
            </w:pPr>
            <w:r w:rsidRPr="00E96466">
              <w:rPr>
                <w:b/>
                <w:sz w:val="18"/>
                <w:szCs w:val="18"/>
              </w:rPr>
              <w:t>Falharam</w:t>
            </w:r>
            <w:r w:rsidR="002649FA" w:rsidRPr="00E96466">
              <w:rPr>
                <w:b/>
                <w:sz w:val="18"/>
                <w:szCs w:val="18"/>
              </w:rPr>
              <w:t xml:space="preserve"> em Inovar</w:t>
            </w:r>
          </w:p>
        </w:tc>
        <w:tc>
          <w:tcPr>
            <w:tcW w:w="1190" w:type="dxa"/>
            <w:tcBorders>
              <w:top w:val="single" w:sz="4" w:space="0" w:color="auto"/>
              <w:bottom w:val="single" w:sz="8" w:space="0" w:color="auto"/>
            </w:tcBorders>
            <w:shd w:val="clear" w:color="auto" w:fill="auto"/>
            <w:vAlign w:val="center"/>
          </w:tcPr>
          <w:p w14:paraId="39BDDD23" w14:textId="77777777" w:rsidR="003E18A8" w:rsidRPr="00E96466" w:rsidRDefault="002649FA" w:rsidP="00651C17">
            <w:pPr>
              <w:tabs>
                <w:tab w:val="left" w:pos="227"/>
                <w:tab w:val="left" w:pos="284"/>
                <w:tab w:val="left" w:pos="397"/>
                <w:tab w:val="left" w:pos="567"/>
              </w:tabs>
              <w:spacing w:before="40" w:after="40"/>
              <w:jc w:val="center"/>
              <w:rPr>
                <w:b/>
                <w:sz w:val="18"/>
                <w:szCs w:val="18"/>
              </w:rPr>
            </w:pPr>
            <w:r w:rsidRPr="00E96466">
              <w:rPr>
                <w:b/>
                <w:sz w:val="18"/>
                <w:szCs w:val="18"/>
              </w:rPr>
              <w:t>Ativas em Inovação</w:t>
            </w:r>
          </w:p>
        </w:tc>
        <w:tc>
          <w:tcPr>
            <w:tcW w:w="1191" w:type="dxa"/>
            <w:tcBorders>
              <w:top w:val="single" w:sz="4" w:space="0" w:color="auto"/>
              <w:bottom w:val="single" w:sz="8" w:space="0" w:color="auto"/>
            </w:tcBorders>
            <w:shd w:val="clear" w:color="auto" w:fill="auto"/>
            <w:vAlign w:val="center"/>
          </w:tcPr>
          <w:p w14:paraId="43D947EE" w14:textId="77777777" w:rsidR="003E18A8" w:rsidRPr="00E96466" w:rsidRDefault="003E18A8" w:rsidP="00651C17">
            <w:pPr>
              <w:tabs>
                <w:tab w:val="left" w:pos="227"/>
                <w:tab w:val="left" w:pos="284"/>
                <w:tab w:val="left" w:pos="397"/>
                <w:tab w:val="left" w:pos="567"/>
              </w:tabs>
              <w:spacing w:before="40" w:after="40"/>
              <w:jc w:val="center"/>
              <w:rPr>
                <w:b/>
                <w:sz w:val="18"/>
                <w:szCs w:val="18"/>
              </w:rPr>
            </w:pPr>
            <w:r w:rsidRPr="00E96466">
              <w:rPr>
                <w:b/>
                <w:sz w:val="18"/>
                <w:szCs w:val="18"/>
              </w:rPr>
              <w:t>Inovadoras Potencia</w:t>
            </w:r>
            <w:r w:rsidR="002649FA" w:rsidRPr="00E96466">
              <w:rPr>
                <w:b/>
                <w:sz w:val="18"/>
                <w:szCs w:val="18"/>
              </w:rPr>
              <w:t>is</w:t>
            </w:r>
          </w:p>
        </w:tc>
        <w:tc>
          <w:tcPr>
            <w:tcW w:w="1191" w:type="dxa"/>
            <w:tcBorders>
              <w:top w:val="single" w:sz="4" w:space="0" w:color="auto"/>
              <w:bottom w:val="single" w:sz="8" w:space="0" w:color="auto"/>
            </w:tcBorders>
            <w:shd w:val="clear" w:color="auto" w:fill="auto"/>
            <w:vAlign w:val="center"/>
          </w:tcPr>
          <w:p w14:paraId="01A9427E" w14:textId="77777777" w:rsidR="003E18A8" w:rsidRPr="00E96466" w:rsidRDefault="003E18A8" w:rsidP="00651C17">
            <w:pPr>
              <w:tabs>
                <w:tab w:val="left" w:pos="227"/>
                <w:tab w:val="left" w:pos="284"/>
                <w:tab w:val="left" w:pos="397"/>
                <w:tab w:val="left" w:pos="567"/>
              </w:tabs>
              <w:spacing w:before="40" w:after="40"/>
              <w:jc w:val="center"/>
              <w:rPr>
                <w:b/>
                <w:sz w:val="18"/>
                <w:szCs w:val="18"/>
              </w:rPr>
            </w:pPr>
            <w:r w:rsidRPr="00E96466">
              <w:rPr>
                <w:b/>
                <w:sz w:val="18"/>
                <w:szCs w:val="18"/>
              </w:rPr>
              <w:t xml:space="preserve">Orientadas </w:t>
            </w:r>
            <w:r w:rsidR="002649FA" w:rsidRPr="00E96466">
              <w:rPr>
                <w:b/>
                <w:sz w:val="18"/>
                <w:szCs w:val="18"/>
              </w:rPr>
              <w:t>à</w:t>
            </w:r>
            <w:r w:rsidRPr="00E96466">
              <w:rPr>
                <w:b/>
                <w:sz w:val="18"/>
                <w:szCs w:val="18"/>
              </w:rPr>
              <w:t xml:space="preserve"> Inovação</w:t>
            </w:r>
          </w:p>
        </w:tc>
      </w:tr>
      <w:tr w:rsidR="00E64332" w:rsidRPr="00E96466" w14:paraId="3844191C" w14:textId="77777777" w:rsidTr="00E64332">
        <w:tc>
          <w:tcPr>
            <w:tcW w:w="3261" w:type="dxa"/>
            <w:tcBorders>
              <w:top w:val="single" w:sz="8" w:space="0" w:color="auto"/>
              <w:bottom w:val="single" w:sz="8" w:space="0" w:color="auto"/>
            </w:tcBorders>
            <w:shd w:val="clear" w:color="auto" w:fill="BFBFBF" w:themeFill="background1" w:themeFillShade="BF"/>
            <w:vAlign w:val="center"/>
          </w:tcPr>
          <w:p w14:paraId="25B9EE08" w14:textId="77777777" w:rsidR="003E18A8" w:rsidRPr="001957BF" w:rsidRDefault="003B4358" w:rsidP="00AE5553">
            <w:pPr>
              <w:tabs>
                <w:tab w:val="left" w:pos="227"/>
                <w:tab w:val="left" w:pos="284"/>
                <w:tab w:val="left" w:pos="397"/>
                <w:tab w:val="left" w:pos="567"/>
              </w:tabs>
              <w:spacing w:before="40" w:after="40"/>
              <w:jc w:val="both"/>
              <w:rPr>
                <w:b/>
                <w:sz w:val="18"/>
                <w:szCs w:val="18"/>
              </w:rPr>
            </w:pPr>
            <w:r w:rsidRPr="001957BF">
              <w:rPr>
                <w:b/>
                <w:sz w:val="18"/>
                <w:szCs w:val="18"/>
              </w:rPr>
              <w:t xml:space="preserve">Obstáculos </w:t>
            </w:r>
            <w:r w:rsidR="003E18A8" w:rsidRPr="001957BF">
              <w:rPr>
                <w:b/>
                <w:sz w:val="18"/>
                <w:szCs w:val="18"/>
              </w:rPr>
              <w:t>Financeiro</w:t>
            </w:r>
            <w:r w:rsidRPr="001957BF">
              <w:rPr>
                <w:b/>
                <w:sz w:val="18"/>
                <w:szCs w:val="18"/>
              </w:rPr>
              <w:t>s</w:t>
            </w:r>
          </w:p>
        </w:tc>
        <w:tc>
          <w:tcPr>
            <w:tcW w:w="1190" w:type="dxa"/>
            <w:tcBorders>
              <w:top w:val="single" w:sz="8" w:space="0" w:color="auto"/>
              <w:bottom w:val="single" w:sz="8" w:space="0" w:color="auto"/>
            </w:tcBorders>
            <w:shd w:val="clear" w:color="auto" w:fill="BFBFBF" w:themeFill="background1" w:themeFillShade="BF"/>
            <w:vAlign w:val="center"/>
          </w:tcPr>
          <w:p w14:paraId="68ED68E5"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31</w:t>
            </w:r>
            <w:r w:rsidR="002649FA" w:rsidRPr="001957BF">
              <w:rPr>
                <w:b/>
              </w:rPr>
              <w:t>,</w:t>
            </w:r>
            <w:r w:rsidRPr="001957BF">
              <w:rPr>
                <w:b/>
              </w:rPr>
              <w:t>1%</w:t>
            </w:r>
          </w:p>
        </w:tc>
        <w:tc>
          <w:tcPr>
            <w:tcW w:w="1191" w:type="dxa"/>
            <w:tcBorders>
              <w:top w:val="single" w:sz="8" w:space="0" w:color="auto"/>
              <w:bottom w:val="single" w:sz="8" w:space="0" w:color="auto"/>
            </w:tcBorders>
            <w:shd w:val="clear" w:color="auto" w:fill="BFBFBF" w:themeFill="background1" w:themeFillShade="BF"/>
            <w:vAlign w:val="center"/>
          </w:tcPr>
          <w:p w14:paraId="76DDF7AC"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39</w:t>
            </w:r>
            <w:r w:rsidR="002649FA" w:rsidRPr="001957BF">
              <w:rPr>
                <w:b/>
              </w:rPr>
              <w:t>,</w:t>
            </w:r>
            <w:r w:rsidRPr="001957BF">
              <w:rPr>
                <w:b/>
              </w:rPr>
              <w:t>6%</w:t>
            </w:r>
          </w:p>
        </w:tc>
        <w:tc>
          <w:tcPr>
            <w:tcW w:w="1190" w:type="dxa"/>
            <w:tcBorders>
              <w:top w:val="single" w:sz="8" w:space="0" w:color="auto"/>
              <w:bottom w:val="single" w:sz="8" w:space="0" w:color="auto"/>
            </w:tcBorders>
            <w:shd w:val="clear" w:color="auto" w:fill="BFBFBF" w:themeFill="background1" w:themeFillShade="BF"/>
            <w:vAlign w:val="center"/>
          </w:tcPr>
          <w:p w14:paraId="3C73838F"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31</w:t>
            </w:r>
            <w:r w:rsidR="002649FA" w:rsidRPr="001957BF">
              <w:rPr>
                <w:b/>
              </w:rPr>
              <w:t>,</w:t>
            </w:r>
            <w:r w:rsidRPr="001957BF">
              <w:rPr>
                <w:b/>
              </w:rPr>
              <w:t>5%</w:t>
            </w:r>
          </w:p>
        </w:tc>
        <w:tc>
          <w:tcPr>
            <w:tcW w:w="1191" w:type="dxa"/>
            <w:tcBorders>
              <w:top w:val="single" w:sz="8" w:space="0" w:color="auto"/>
              <w:bottom w:val="single" w:sz="8" w:space="0" w:color="auto"/>
            </w:tcBorders>
            <w:shd w:val="clear" w:color="auto" w:fill="BFBFBF" w:themeFill="background1" w:themeFillShade="BF"/>
            <w:vAlign w:val="center"/>
          </w:tcPr>
          <w:p w14:paraId="368AEB61"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76</w:t>
            </w:r>
            <w:r w:rsidR="002649FA" w:rsidRPr="001957BF">
              <w:rPr>
                <w:b/>
              </w:rPr>
              <w:t>,</w:t>
            </w:r>
            <w:r w:rsidRPr="001957BF">
              <w:rPr>
                <w:b/>
              </w:rPr>
              <w:t>7%</w:t>
            </w:r>
          </w:p>
        </w:tc>
        <w:tc>
          <w:tcPr>
            <w:tcW w:w="1191" w:type="dxa"/>
            <w:tcBorders>
              <w:top w:val="single" w:sz="8" w:space="0" w:color="auto"/>
              <w:bottom w:val="single" w:sz="8" w:space="0" w:color="auto"/>
            </w:tcBorders>
            <w:shd w:val="clear" w:color="auto" w:fill="BFBFBF" w:themeFill="background1" w:themeFillShade="BF"/>
            <w:vAlign w:val="center"/>
          </w:tcPr>
          <w:p w14:paraId="0A74A755"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38</w:t>
            </w:r>
            <w:r w:rsidR="002649FA" w:rsidRPr="001957BF">
              <w:rPr>
                <w:b/>
              </w:rPr>
              <w:t>,</w:t>
            </w:r>
            <w:r w:rsidRPr="001957BF">
              <w:rPr>
                <w:b/>
              </w:rPr>
              <w:t>7%</w:t>
            </w:r>
          </w:p>
        </w:tc>
      </w:tr>
      <w:tr w:rsidR="003B4358" w:rsidRPr="00E96466" w14:paraId="70A13D2D" w14:textId="77777777" w:rsidTr="00E64332">
        <w:tc>
          <w:tcPr>
            <w:tcW w:w="3261" w:type="dxa"/>
            <w:tcBorders>
              <w:top w:val="single" w:sz="8" w:space="0" w:color="auto"/>
            </w:tcBorders>
            <w:shd w:val="clear" w:color="auto" w:fill="auto"/>
            <w:vAlign w:val="center"/>
          </w:tcPr>
          <w:p w14:paraId="2784079D" w14:textId="77777777" w:rsidR="003E18A8" w:rsidRPr="001957BF" w:rsidRDefault="003E18A8" w:rsidP="001E24AB">
            <w:pPr>
              <w:tabs>
                <w:tab w:val="left" w:pos="227"/>
                <w:tab w:val="left" w:pos="284"/>
                <w:tab w:val="left" w:pos="397"/>
                <w:tab w:val="left" w:pos="567"/>
              </w:tabs>
              <w:spacing w:before="40" w:after="40"/>
              <w:rPr>
                <w:b/>
                <w:sz w:val="18"/>
                <w:szCs w:val="18"/>
              </w:rPr>
            </w:pPr>
            <w:r w:rsidRPr="001957BF">
              <w:rPr>
                <w:sz w:val="18"/>
                <w:szCs w:val="18"/>
              </w:rPr>
              <w:t>Riscos econômicos excessivos</w:t>
            </w:r>
          </w:p>
        </w:tc>
        <w:tc>
          <w:tcPr>
            <w:tcW w:w="1190" w:type="dxa"/>
            <w:tcBorders>
              <w:top w:val="single" w:sz="8" w:space="0" w:color="auto"/>
            </w:tcBorders>
            <w:shd w:val="clear" w:color="auto" w:fill="auto"/>
            <w:vAlign w:val="center"/>
          </w:tcPr>
          <w:p w14:paraId="0F24CD9B" w14:textId="77777777" w:rsidR="003E18A8" w:rsidRPr="001957BF" w:rsidRDefault="003E18A8" w:rsidP="00961A7C">
            <w:pPr>
              <w:tabs>
                <w:tab w:val="left" w:pos="227"/>
                <w:tab w:val="left" w:pos="284"/>
                <w:tab w:val="left" w:pos="397"/>
                <w:tab w:val="left" w:pos="567"/>
              </w:tabs>
              <w:spacing w:before="40" w:after="40"/>
              <w:jc w:val="center"/>
              <w:rPr>
                <w:b/>
              </w:rPr>
            </w:pPr>
            <w:r w:rsidRPr="001957BF">
              <w:t>19</w:t>
            </w:r>
            <w:r w:rsidR="002649FA" w:rsidRPr="001957BF">
              <w:t>,</w:t>
            </w:r>
            <w:r w:rsidRPr="001957BF">
              <w:t>7%</w:t>
            </w:r>
          </w:p>
        </w:tc>
        <w:tc>
          <w:tcPr>
            <w:tcW w:w="1191" w:type="dxa"/>
            <w:tcBorders>
              <w:top w:val="single" w:sz="8" w:space="0" w:color="auto"/>
            </w:tcBorders>
            <w:shd w:val="clear" w:color="auto" w:fill="auto"/>
            <w:vAlign w:val="center"/>
          </w:tcPr>
          <w:p w14:paraId="11F0764C" w14:textId="77777777" w:rsidR="003E18A8" w:rsidRPr="001957BF" w:rsidRDefault="003E18A8" w:rsidP="00961A7C">
            <w:pPr>
              <w:tabs>
                <w:tab w:val="left" w:pos="227"/>
                <w:tab w:val="left" w:pos="284"/>
                <w:tab w:val="left" w:pos="397"/>
                <w:tab w:val="left" w:pos="567"/>
              </w:tabs>
              <w:spacing w:before="40" w:after="40"/>
              <w:jc w:val="center"/>
              <w:rPr>
                <w:b/>
              </w:rPr>
            </w:pPr>
            <w:r w:rsidRPr="001957BF">
              <w:t>26</w:t>
            </w:r>
            <w:r w:rsidR="002649FA" w:rsidRPr="001957BF">
              <w:t>,</w:t>
            </w:r>
            <w:r w:rsidRPr="001957BF">
              <w:t>1%</w:t>
            </w:r>
          </w:p>
        </w:tc>
        <w:tc>
          <w:tcPr>
            <w:tcW w:w="1190" w:type="dxa"/>
            <w:tcBorders>
              <w:top w:val="single" w:sz="8" w:space="0" w:color="auto"/>
            </w:tcBorders>
            <w:shd w:val="clear" w:color="auto" w:fill="auto"/>
            <w:vAlign w:val="center"/>
          </w:tcPr>
          <w:p w14:paraId="50F703EC" w14:textId="77777777" w:rsidR="003E18A8" w:rsidRPr="001957BF" w:rsidRDefault="003E18A8" w:rsidP="00961A7C">
            <w:pPr>
              <w:tabs>
                <w:tab w:val="left" w:pos="227"/>
                <w:tab w:val="left" w:pos="284"/>
                <w:tab w:val="left" w:pos="397"/>
                <w:tab w:val="left" w:pos="567"/>
              </w:tabs>
              <w:spacing w:before="40" w:after="40"/>
              <w:jc w:val="center"/>
              <w:rPr>
                <w:b/>
              </w:rPr>
            </w:pPr>
            <w:r w:rsidRPr="001957BF">
              <w:t>20</w:t>
            </w:r>
            <w:r w:rsidR="002649FA" w:rsidRPr="001957BF">
              <w:t>,</w:t>
            </w:r>
            <w:r w:rsidRPr="001957BF">
              <w:t>0%</w:t>
            </w:r>
          </w:p>
        </w:tc>
        <w:tc>
          <w:tcPr>
            <w:tcW w:w="1191" w:type="dxa"/>
            <w:tcBorders>
              <w:top w:val="single" w:sz="8" w:space="0" w:color="auto"/>
            </w:tcBorders>
            <w:shd w:val="clear" w:color="auto" w:fill="auto"/>
            <w:vAlign w:val="center"/>
          </w:tcPr>
          <w:p w14:paraId="2F5E450F" w14:textId="77777777" w:rsidR="003E18A8" w:rsidRPr="001957BF" w:rsidRDefault="003E18A8" w:rsidP="00961A7C">
            <w:pPr>
              <w:tabs>
                <w:tab w:val="left" w:pos="227"/>
                <w:tab w:val="left" w:pos="284"/>
                <w:tab w:val="left" w:pos="397"/>
                <w:tab w:val="left" w:pos="567"/>
              </w:tabs>
              <w:spacing w:before="40" w:after="40"/>
              <w:jc w:val="center"/>
              <w:rPr>
                <w:b/>
              </w:rPr>
            </w:pPr>
            <w:r w:rsidRPr="001957BF">
              <w:t>50</w:t>
            </w:r>
            <w:r w:rsidR="002649FA" w:rsidRPr="001957BF">
              <w:t>,</w:t>
            </w:r>
            <w:r w:rsidRPr="001957BF">
              <w:t>1%</w:t>
            </w:r>
          </w:p>
        </w:tc>
        <w:tc>
          <w:tcPr>
            <w:tcW w:w="1191" w:type="dxa"/>
            <w:tcBorders>
              <w:top w:val="single" w:sz="8" w:space="0" w:color="auto"/>
            </w:tcBorders>
            <w:shd w:val="clear" w:color="auto" w:fill="auto"/>
            <w:vAlign w:val="center"/>
          </w:tcPr>
          <w:p w14:paraId="4E8C1F7F" w14:textId="77777777" w:rsidR="003E18A8" w:rsidRPr="001957BF" w:rsidRDefault="003E18A8" w:rsidP="00961A7C">
            <w:pPr>
              <w:tabs>
                <w:tab w:val="left" w:pos="227"/>
                <w:tab w:val="left" w:pos="284"/>
                <w:tab w:val="left" w:pos="397"/>
                <w:tab w:val="left" w:pos="567"/>
              </w:tabs>
              <w:spacing w:before="40" w:after="40"/>
              <w:jc w:val="center"/>
              <w:rPr>
                <w:b/>
              </w:rPr>
            </w:pPr>
            <w:r w:rsidRPr="001957BF">
              <w:t>24</w:t>
            </w:r>
            <w:r w:rsidR="002649FA" w:rsidRPr="001957BF">
              <w:t>,</w:t>
            </w:r>
            <w:r w:rsidRPr="001957BF">
              <w:t>8%</w:t>
            </w:r>
          </w:p>
        </w:tc>
      </w:tr>
      <w:tr w:rsidR="003B4358" w:rsidRPr="00E96466" w14:paraId="5C5FA45A" w14:textId="77777777" w:rsidTr="00E64332">
        <w:tc>
          <w:tcPr>
            <w:tcW w:w="3261" w:type="dxa"/>
            <w:shd w:val="clear" w:color="auto" w:fill="auto"/>
            <w:vAlign w:val="center"/>
          </w:tcPr>
          <w:p w14:paraId="74B4D2B8" w14:textId="77777777" w:rsidR="003E18A8" w:rsidRPr="001957BF" w:rsidRDefault="003E18A8" w:rsidP="001E24AB">
            <w:pPr>
              <w:tabs>
                <w:tab w:val="left" w:pos="227"/>
                <w:tab w:val="left" w:pos="284"/>
                <w:tab w:val="left" w:pos="397"/>
                <w:tab w:val="left" w:pos="567"/>
              </w:tabs>
              <w:spacing w:before="40" w:after="40"/>
              <w:rPr>
                <w:b/>
                <w:sz w:val="18"/>
                <w:szCs w:val="18"/>
              </w:rPr>
            </w:pPr>
            <w:r w:rsidRPr="001957BF">
              <w:rPr>
                <w:sz w:val="18"/>
                <w:szCs w:val="18"/>
              </w:rPr>
              <w:t>Elevados custos da inovação</w:t>
            </w:r>
          </w:p>
        </w:tc>
        <w:tc>
          <w:tcPr>
            <w:tcW w:w="1190" w:type="dxa"/>
            <w:shd w:val="clear" w:color="auto" w:fill="auto"/>
            <w:vAlign w:val="center"/>
          </w:tcPr>
          <w:p w14:paraId="5804C1EC" w14:textId="77777777" w:rsidR="003E18A8" w:rsidRPr="001957BF" w:rsidRDefault="003E18A8" w:rsidP="00961A7C">
            <w:pPr>
              <w:tabs>
                <w:tab w:val="left" w:pos="227"/>
                <w:tab w:val="left" w:pos="284"/>
                <w:tab w:val="left" w:pos="397"/>
                <w:tab w:val="left" w:pos="567"/>
              </w:tabs>
              <w:spacing w:before="40" w:after="40"/>
              <w:jc w:val="center"/>
              <w:rPr>
                <w:b/>
              </w:rPr>
            </w:pPr>
            <w:r w:rsidRPr="001957BF">
              <w:t>21</w:t>
            </w:r>
            <w:r w:rsidR="002649FA" w:rsidRPr="001957BF">
              <w:t>,</w:t>
            </w:r>
            <w:r w:rsidRPr="001957BF">
              <w:t>7%</w:t>
            </w:r>
          </w:p>
        </w:tc>
        <w:tc>
          <w:tcPr>
            <w:tcW w:w="1191" w:type="dxa"/>
            <w:shd w:val="clear" w:color="auto" w:fill="auto"/>
            <w:vAlign w:val="center"/>
          </w:tcPr>
          <w:p w14:paraId="499055EC" w14:textId="77777777" w:rsidR="003E18A8" w:rsidRPr="001957BF" w:rsidRDefault="003E18A8" w:rsidP="00961A7C">
            <w:pPr>
              <w:tabs>
                <w:tab w:val="left" w:pos="227"/>
                <w:tab w:val="left" w:pos="284"/>
                <w:tab w:val="left" w:pos="397"/>
                <w:tab w:val="left" w:pos="567"/>
              </w:tabs>
              <w:spacing w:before="40" w:after="40"/>
              <w:jc w:val="center"/>
              <w:rPr>
                <w:b/>
              </w:rPr>
            </w:pPr>
            <w:r w:rsidRPr="001957BF">
              <w:t>29</w:t>
            </w:r>
            <w:r w:rsidR="002649FA" w:rsidRPr="001957BF">
              <w:t>,</w:t>
            </w:r>
            <w:r w:rsidRPr="001957BF">
              <w:t>3%</w:t>
            </w:r>
          </w:p>
        </w:tc>
        <w:tc>
          <w:tcPr>
            <w:tcW w:w="1190" w:type="dxa"/>
            <w:shd w:val="clear" w:color="auto" w:fill="auto"/>
            <w:vAlign w:val="center"/>
          </w:tcPr>
          <w:p w14:paraId="413D1ABF" w14:textId="77777777" w:rsidR="003E18A8" w:rsidRPr="001957BF" w:rsidRDefault="003E18A8" w:rsidP="00961A7C">
            <w:pPr>
              <w:tabs>
                <w:tab w:val="left" w:pos="227"/>
                <w:tab w:val="left" w:pos="284"/>
                <w:tab w:val="left" w:pos="397"/>
                <w:tab w:val="left" w:pos="567"/>
              </w:tabs>
              <w:spacing w:before="40" w:after="40"/>
              <w:jc w:val="center"/>
              <w:rPr>
                <w:b/>
              </w:rPr>
            </w:pPr>
            <w:r w:rsidRPr="001957BF">
              <w:t>22</w:t>
            </w:r>
            <w:r w:rsidR="002649FA" w:rsidRPr="001957BF">
              <w:t>,</w:t>
            </w:r>
            <w:r w:rsidRPr="001957BF">
              <w:t>1%</w:t>
            </w:r>
          </w:p>
        </w:tc>
        <w:tc>
          <w:tcPr>
            <w:tcW w:w="1191" w:type="dxa"/>
            <w:shd w:val="clear" w:color="auto" w:fill="auto"/>
            <w:vAlign w:val="center"/>
          </w:tcPr>
          <w:p w14:paraId="6037ED52" w14:textId="77777777" w:rsidR="003E18A8" w:rsidRPr="001957BF" w:rsidRDefault="003E18A8" w:rsidP="00961A7C">
            <w:pPr>
              <w:tabs>
                <w:tab w:val="left" w:pos="227"/>
                <w:tab w:val="left" w:pos="284"/>
                <w:tab w:val="left" w:pos="397"/>
                <w:tab w:val="left" w:pos="567"/>
              </w:tabs>
              <w:spacing w:before="40" w:after="40"/>
              <w:jc w:val="center"/>
              <w:rPr>
                <w:b/>
              </w:rPr>
            </w:pPr>
            <w:r w:rsidRPr="001957BF">
              <w:t>59</w:t>
            </w:r>
            <w:r w:rsidR="002649FA" w:rsidRPr="001957BF">
              <w:t>,</w:t>
            </w:r>
            <w:r w:rsidRPr="001957BF">
              <w:t>4%</w:t>
            </w:r>
          </w:p>
        </w:tc>
        <w:tc>
          <w:tcPr>
            <w:tcW w:w="1191" w:type="dxa"/>
            <w:shd w:val="clear" w:color="auto" w:fill="auto"/>
            <w:vAlign w:val="center"/>
          </w:tcPr>
          <w:p w14:paraId="5C985E1F" w14:textId="77777777" w:rsidR="003E18A8" w:rsidRPr="001957BF" w:rsidRDefault="003E18A8" w:rsidP="00961A7C">
            <w:pPr>
              <w:tabs>
                <w:tab w:val="left" w:pos="227"/>
                <w:tab w:val="left" w:pos="284"/>
                <w:tab w:val="left" w:pos="397"/>
                <w:tab w:val="left" w:pos="567"/>
              </w:tabs>
              <w:spacing w:before="40" w:after="40"/>
              <w:jc w:val="center"/>
              <w:rPr>
                <w:b/>
              </w:rPr>
            </w:pPr>
            <w:r w:rsidRPr="001957BF">
              <w:t>28</w:t>
            </w:r>
            <w:r w:rsidR="002649FA" w:rsidRPr="001957BF">
              <w:t>,</w:t>
            </w:r>
            <w:r w:rsidRPr="001957BF">
              <w:t>0%</w:t>
            </w:r>
          </w:p>
        </w:tc>
      </w:tr>
      <w:tr w:rsidR="003B4358" w:rsidRPr="00E96466" w14:paraId="3A1EFD4F" w14:textId="77777777" w:rsidTr="00E64332">
        <w:tc>
          <w:tcPr>
            <w:tcW w:w="3261" w:type="dxa"/>
            <w:tcBorders>
              <w:bottom w:val="single" w:sz="8" w:space="0" w:color="auto"/>
            </w:tcBorders>
            <w:shd w:val="clear" w:color="auto" w:fill="auto"/>
            <w:vAlign w:val="center"/>
          </w:tcPr>
          <w:p w14:paraId="5C30E969" w14:textId="77777777" w:rsidR="003E18A8" w:rsidRPr="001957BF" w:rsidRDefault="003E18A8" w:rsidP="001E24AB">
            <w:pPr>
              <w:tabs>
                <w:tab w:val="left" w:pos="227"/>
                <w:tab w:val="left" w:pos="284"/>
                <w:tab w:val="left" w:pos="397"/>
                <w:tab w:val="left" w:pos="567"/>
              </w:tabs>
              <w:spacing w:before="40" w:after="40"/>
              <w:rPr>
                <w:b/>
                <w:sz w:val="18"/>
                <w:szCs w:val="18"/>
              </w:rPr>
            </w:pPr>
            <w:r w:rsidRPr="001957BF">
              <w:rPr>
                <w:sz w:val="18"/>
                <w:szCs w:val="18"/>
              </w:rPr>
              <w:t>Escassez de financiamento</w:t>
            </w:r>
          </w:p>
        </w:tc>
        <w:tc>
          <w:tcPr>
            <w:tcW w:w="1190" w:type="dxa"/>
            <w:tcBorders>
              <w:bottom w:val="single" w:sz="8" w:space="0" w:color="auto"/>
            </w:tcBorders>
            <w:shd w:val="clear" w:color="auto" w:fill="auto"/>
            <w:vAlign w:val="center"/>
          </w:tcPr>
          <w:p w14:paraId="5B773D61" w14:textId="77777777" w:rsidR="003E18A8" w:rsidRPr="001957BF" w:rsidRDefault="003E18A8" w:rsidP="00961A7C">
            <w:pPr>
              <w:tabs>
                <w:tab w:val="left" w:pos="227"/>
                <w:tab w:val="left" w:pos="284"/>
                <w:tab w:val="left" w:pos="397"/>
                <w:tab w:val="left" w:pos="567"/>
              </w:tabs>
              <w:spacing w:before="40" w:after="40"/>
              <w:jc w:val="center"/>
              <w:rPr>
                <w:b/>
              </w:rPr>
            </w:pPr>
            <w:r w:rsidRPr="001957BF">
              <w:t>15</w:t>
            </w:r>
            <w:r w:rsidR="002649FA" w:rsidRPr="001957BF">
              <w:t>,</w:t>
            </w:r>
            <w:r w:rsidRPr="001957BF">
              <w:t>0%</w:t>
            </w:r>
          </w:p>
        </w:tc>
        <w:tc>
          <w:tcPr>
            <w:tcW w:w="1191" w:type="dxa"/>
            <w:tcBorders>
              <w:bottom w:val="single" w:sz="8" w:space="0" w:color="auto"/>
            </w:tcBorders>
            <w:shd w:val="clear" w:color="auto" w:fill="auto"/>
            <w:vAlign w:val="center"/>
          </w:tcPr>
          <w:p w14:paraId="087AA316" w14:textId="77777777" w:rsidR="003E18A8" w:rsidRPr="001957BF" w:rsidRDefault="003E18A8" w:rsidP="00961A7C">
            <w:pPr>
              <w:tabs>
                <w:tab w:val="left" w:pos="227"/>
                <w:tab w:val="left" w:pos="284"/>
                <w:tab w:val="left" w:pos="397"/>
                <w:tab w:val="left" w:pos="567"/>
              </w:tabs>
              <w:spacing w:before="40" w:after="40"/>
              <w:jc w:val="center"/>
              <w:rPr>
                <w:b/>
              </w:rPr>
            </w:pPr>
            <w:r w:rsidRPr="001957BF">
              <w:t>19</w:t>
            </w:r>
            <w:r w:rsidR="002649FA" w:rsidRPr="001957BF">
              <w:t>,</w:t>
            </w:r>
            <w:r w:rsidRPr="001957BF">
              <w:t>5%</w:t>
            </w:r>
          </w:p>
        </w:tc>
        <w:tc>
          <w:tcPr>
            <w:tcW w:w="1190" w:type="dxa"/>
            <w:tcBorders>
              <w:bottom w:val="single" w:sz="8" w:space="0" w:color="auto"/>
            </w:tcBorders>
            <w:shd w:val="clear" w:color="auto" w:fill="auto"/>
            <w:vAlign w:val="center"/>
          </w:tcPr>
          <w:p w14:paraId="63CF253C" w14:textId="77777777" w:rsidR="003E18A8" w:rsidRPr="001957BF" w:rsidRDefault="003E18A8" w:rsidP="00961A7C">
            <w:pPr>
              <w:tabs>
                <w:tab w:val="left" w:pos="227"/>
                <w:tab w:val="left" w:pos="284"/>
                <w:tab w:val="left" w:pos="397"/>
                <w:tab w:val="left" w:pos="567"/>
              </w:tabs>
              <w:spacing w:before="40" w:after="40"/>
              <w:jc w:val="center"/>
              <w:rPr>
                <w:b/>
              </w:rPr>
            </w:pPr>
            <w:r w:rsidRPr="001957BF">
              <w:t>15</w:t>
            </w:r>
            <w:r w:rsidR="002649FA" w:rsidRPr="001957BF">
              <w:t>,</w:t>
            </w:r>
            <w:r w:rsidRPr="001957BF">
              <w:t>2%</w:t>
            </w:r>
          </w:p>
        </w:tc>
        <w:tc>
          <w:tcPr>
            <w:tcW w:w="1191" w:type="dxa"/>
            <w:tcBorders>
              <w:bottom w:val="single" w:sz="8" w:space="0" w:color="auto"/>
            </w:tcBorders>
            <w:shd w:val="clear" w:color="auto" w:fill="auto"/>
            <w:vAlign w:val="center"/>
          </w:tcPr>
          <w:p w14:paraId="1CD44903" w14:textId="77777777" w:rsidR="003E18A8" w:rsidRPr="001957BF" w:rsidRDefault="003E18A8" w:rsidP="00961A7C">
            <w:pPr>
              <w:tabs>
                <w:tab w:val="left" w:pos="227"/>
                <w:tab w:val="left" w:pos="284"/>
                <w:tab w:val="left" w:pos="397"/>
                <w:tab w:val="left" w:pos="567"/>
              </w:tabs>
              <w:spacing w:before="40" w:after="40"/>
              <w:jc w:val="center"/>
              <w:rPr>
                <w:b/>
              </w:rPr>
            </w:pPr>
            <w:r w:rsidRPr="001957BF">
              <w:t>36</w:t>
            </w:r>
            <w:r w:rsidR="002649FA" w:rsidRPr="001957BF">
              <w:t>,</w:t>
            </w:r>
            <w:r w:rsidRPr="001957BF">
              <w:t>7%</w:t>
            </w:r>
          </w:p>
        </w:tc>
        <w:tc>
          <w:tcPr>
            <w:tcW w:w="1191" w:type="dxa"/>
            <w:tcBorders>
              <w:bottom w:val="single" w:sz="8" w:space="0" w:color="auto"/>
            </w:tcBorders>
            <w:shd w:val="clear" w:color="auto" w:fill="auto"/>
            <w:vAlign w:val="center"/>
          </w:tcPr>
          <w:p w14:paraId="1701C63E" w14:textId="77777777" w:rsidR="003E18A8" w:rsidRPr="001957BF" w:rsidRDefault="003E18A8" w:rsidP="00961A7C">
            <w:pPr>
              <w:tabs>
                <w:tab w:val="left" w:pos="227"/>
                <w:tab w:val="left" w:pos="284"/>
                <w:tab w:val="left" w:pos="397"/>
                <w:tab w:val="left" w:pos="567"/>
              </w:tabs>
              <w:spacing w:before="40" w:after="40"/>
              <w:jc w:val="center"/>
              <w:rPr>
                <w:b/>
              </w:rPr>
            </w:pPr>
            <w:r w:rsidRPr="001957BF">
              <w:t>18</w:t>
            </w:r>
            <w:r w:rsidR="002649FA" w:rsidRPr="001957BF">
              <w:t>,</w:t>
            </w:r>
            <w:r w:rsidRPr="001957BF">
              <w:t>7%</w:t>
            </w:r>
          </w:p>
        </w:tc>
      </w:tr>
      <w:tr w:rsidR="00E64332" w:rsidRPr="00E96466" w14:paraId="64757283" w14:textId="77777777" w:rsidTr="00E64332">
        <w:tc>
          <w:tcPr>
            <w:tcW w:w="3261" w:type="dxa"/>
            <w:tcBorders>
              <w:top w:val="single" w:sz="8" w:space="0" w:color="auto"/>
              <w:bottom w:val="single" w:sz="8" w:space="0" w:color="auto"/>
            </w:tcBorders>
            <w:shd w:val="clear" w:color="auto" w:fill="BFBFBF" w:themeFill="background1" w:themeFillShade="BF"/>
            <w:vAlign w:val="center"/>
          </w:tcPr>
          <w:p w14:paraId="51E88FCC" w14:textId="77777777" w:rsidR="003E18A8" w:rsidRPr="001957BF" w:rsidRDefault="003B4358" w:rsidP="001E24AB">
            <w:pPr>
              <w:tabs>
                <w:tab w:val="left" w:pos="227"/>
                <w:tab w:val="left" w:pos="284"/>
                <w:tab w:val="left" w:pos="397"/>
                <w:tab w:val="left" w:pos="567"/>
              </w:tabs>
              <w:spacing w:before="40" w:after="40"/>
              <w:rPr>
                <w:b/>
                <w:sz w:val="18"/>
                <w:szCs w:val="18"/>
              </w:rPr>
            </w:pPr>
            <w:r w:rsidRPr="001957BF">
              <w:rPr>
                <w:b/>
                <w:sz w:val="18"/>
                <w:szCs w:val="18"/>
              </w:rPr>
              <w:t xml:space="preserve">Obstáculos de </w:t>
            </w:r>
            <w:r w:rsidR="003E18A8" w:rsidRPr="001957BF">
              <w:rPr>
                <w:b/>
                <w:sz w:val="18"/>
                <w:szCs w:val="18"/>
              </w:rPr>
              <w:t>Conhecimento</w:t>
            </w:r>
          </w:p>
        </w:tc>
        <w:tc>
          <w:tcPr>
            <w:tcW w:w="1190" w:type="dxa"/>
            <w:tcBorders>
              <w:top w:val="single" w:sz="8" w:space="0" w:color="auto"/>
              <w:bottom w:val="single" w:sz="8" w:space="0" w:color="auto"/>
            </w:tcBorders>
            <w:shd w:val="clear" w:color="auto" w:fill="BFBFBF" w:themeFill="background1" w:themeFillShade="BF"/>
            <w:vAlign w:val="center"/>
          </w:tcPr>
          <w:p w14:paraId="61E1659E"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18</w:t>
            </w:r>
            <w:r w:rsidR="002649FA" w:rsidRPr="001957BF">
              <w:rPr>
                <w:b/>
              </w:rPr>
              <w:t>,</w:t>
            </w:r>
            <w:r w:rsidRPr="001957BF">
              <w:rPr>
                <w:b/>
              </w:rPr>
              <w:t>0%</w:t>
            </w:r>
          </w:p>
        </w:tc>
        <w:tc>
          <w:tcPr>
            <w:tcW w:w="1191" w:type="dxa"/>
            <w:tcBorders>
              <w:top w:val="single" w:sz="8" w:space="0" w:color="auto"/>
              <w:bottom w:val="single" w:sz="8" w:space="0" w:color="auto"/>
            </w:tcBorders>
            <w:shd w:val="clear" w:color="auto" w:fill="BFBFBF" w:themeFill="background1" w:themeFillShade="BF"/>
            <w:vAlign w:val="center"/>
          </w:tcPr>
          <w:p w14:paraId="1F043671"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23</w:t>
            </w:r>
            <w:r w:rsidR="002649FA" w:rsidRPr="001957BF">
              <w:rPr>
                <w:b/>
              </w:rPr>
              <w:t>,</w:t>
            </w:r>
            <w:r w:rsidRPr="001957BF">
              <w:rPr>
                <w:b/>
              </w:rPr>
              <w:t>1%</w:t>
            </w:r>
          </w:p>
        </w:tc>
        <w:tc>
          <w:tcPr>
            <w:tcW w:w="1190" w:type="dxa"/>
            <w:tcBorders>
              <w:top w:val="single" w:sz="8" w:space="0" w:color="auto"/>
              <w:bottom w:val="single" w:sz="8" w:space="0" w:color="auto"/>
            </w:tcBorders>
            <w:shd w:val="clear" w:color="auto" w:fill="BFBFBF" w:themeFill="background1" w:themeFillShade="BF"/>
            <w:vAlign w:val="center"/>
          </w:tcPr>
          <w:p w14:paraId="7FA950EF"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18</w:t>
            </w:r>
            <w:r w:rsidR="002649FA" w:rsidRPr="001957BF">
              <w:rPr>
                <w:b/>
              </w:rPr>
              <w:t>,</w:t>
            </w:r>
            <w:r w:rsidRPr="001957BF">
              <w:rPr>
                <w:b/>
              </w:rPr>
              <w:t>3%</w:t>
            </w:r>
          </w:p>
        </w:tc>
        <w:tc>
          <w:tcPr>
            <w:tcW w:w="1191" w:type="dxa"/>
            <w:tcBorders>
              <w:top w:val="single" w:sz="8" w:space="0" w:color="auto"/>
              <w:bottom w:val="single" w:sz="8" w:space="0" w:color="auto"/>
            </w:tcBorders>
            <w:shd w:val="clear" w:color="auto" w:fill="BFBFBF" w:themeFill="background1" w:themeFillShade="BF"/>
            <w:vAlign w:val="center"/>
          </w:tcPr>
          <w:p w14:paraId="1D92D065"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32</w:t>
            </w:r>
            <w:r w:rsidR="002649FA" w:rsidRPr="001957BF">
              <w:rPr>
                <w:b/>
              </w:rPr>
              <w:t>,</w:t>
            </w:r>
            <w:r w:rsidRPr="001957BF">
              <w:rPr>
                <w:b/>
              </w:rPr>
              <w:t>5%</w:t>
            </w:r>
          </w:p>
        </w:tc>
        <w:tc>
          <w:tcPr>
            <w:tcW w:w="1191" w:type="dxa"/>
            <w:tcBorders>
              <w:top w:val="single" w:sz="8" w:space="0" w:color="auto"/>
              <w:bottom w:val="single" w:sz="8" w:space="0" w:color="auto"/>
            </w:tcBorders>
            <w:shd w:val="clear" w:color="auto" w:fill="BFBFBF" w:themeFill="background1" w:themeFillShade="BF"/>
            <w:vAlign w:val="center"/>
          </w:tcPr>
          <w:p w14:paraId="24517801"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20</w:t>
            </w:r>
            <w:r w:rsidR="002649FA" w:rsidRPr="001957BF">
              <w:rPr>
                <w:b/>
              </w:rPr>
              <w:t>,</w:t>
            </w:r>
            <w:r w:rsidRPr="001957BF">
              <w:rPr>
                <w:b/>
              </w:rPr>
              <w:t>6%</w:t>
            </w:r>
          </w:p>
        </w:tc>
      </w:tr>
      <w:tr w:rsidR="003B4358" w:rsidRPr="00E96466" w14:paraId="570D418D" w14:textId="77777777" w:rsidTr="00E64332">
        <w:tc>
          <w:tcPr>
            <w:tcW w:w="3261" w:type="dxa"/>
            <w:tcBorders>
              <w:top w:val="single" w:sz="8" w:space="0" w:color="auto"/>
            </w:tcBorders>
            <w:shd w:val="clear" w:color="auto" w:fill="auto"/>
            <w:vAlign w:val="center"/>
          </w:tcPr>
          <w:p w14:paraId="08B6F59E" w14:textId="77777777" w:rsidR="003E18A8" w:rsidRPr="001957BF" w:rsidRDefault="003E18A8" w:rsidP="001E24AB">
            <w:pPr>
              <w:tabs>
                <w:tab w:val="left" w:pos="227"/>
                <w:tab w:val="left" w:pos="284"/>
                <w:tab w:val="left" w:pos="397"/>
                <w:tab w:val="left" w:pos="567"/>
              </w:tabs>
              <w:spacing w:before="40" w:after="40"/>
              <w:rPr>
                <w:b/>
                <w:sz w:val="18"/>
                <w:szCs w:val="18"/>
              </w:rPr>
            </w:pPr>
            <w:r w:rsidRPr="001957BF">
              <w:rPr>
                <w:sz w:val="18"/>
                <w:szCs w:val="18"/>
              </w:rPr>
              <w:t>Falta de pessoal qualificado</w:t>
            </w:r>
          </w:p>
        </w:tc>
        <w:tc>
          <w:tcPr>
            <w:tcW w:w="1190" w:type="dxa"/>
            <w:tcBorders>
              <w:top w:val="single" w:sz="8" w:space="0" w:color="auto"/>
            </w:tcBorders>
            <w:shd w:val="clear" w:color="auto" w:fill="auto"/>
            <w:vAlign w:val="center"/>
          </w:tcPr>
          <w:p w14:paraId="6DF962B2" w14:textId="77777777" w:rsidR="003E18A8" w:rsidRPr="001957BF" w:rsidRDefault="003E18A8" w:rsidP="00961A7C">
            <w:pPr>
              <w:tabs>
                <w:tab w:val="left" w:pos="227"/>
                <w:tab w:val="left" w:pos="284"/>
                <w:tab w:val="left" w:pos="397"/>
                <w:tab w:val="left" w:pos="567"/>
              </w:tabs>
              <w:spacing w:before="40" w:after="40"/>
              <w:jc w:val="center"/>
              <w:rPr>
                <w:b/>
              </w:rPr>
            </w:pPr>
            <w:r w:rsidRPr="001957BF">
              <w:t>10</w:t>
            </w:r>
            <w:r w:rsidR="002649FA" w:rsidRPr="001957BF">
              <w:t>,</w:t>
            </w:r>
            <w:r w:rsidRPr="001957BF">
              <w:t>9%</w:t>
            </w:r>
          </w:p>
        </w:tc>
        <w:tc>
          <w:tcPr>
            <w:tcW w:w="1191" w:type="dxa"/>
            <w:tcBorders>
              <w:top w:val="single" w:sz="8" w:space="0" w:color="auto"/>
            </w:tcBorders>
            <w:shd w:val="clear" w:color="auto" w:fill="auto"/>
            <w:vAlign w:val="center"/>
          </w:tcPr>
          <w:p w14:paraId="134C3EA1" w14:textId="77777777" w:rsidR="003E18A8" w:rsidRPr="001957BF" w:rsidRDefault="003E18A8" w:rsidP="00961A7C">
            <w:pPr>
              <w:tabs>
                <w:tab w:val="left" w:pos="227"/>
                <w:tab w:val="left" w:pos="284"/>
                <w:tab w:val="left" w:pos="397"/>
                <w:tab w:val="left" w:pos="567"/>
              </w:tabs>
              <w:spacing w:before="40" w:after="40"/>
              <w:jc w:val="center"/>
              <w:rPr>
                <w:b/>
              </w:rPr>
            </w:pPr>
            <w:r w:rsidRPr="001957BF">
              <w:t>13</w:t>
            </w:r>
            <w:r w:rsidR="002649FA" w:rsidRPr="001957BF">
              <w:t>,</w:t>
            </w:r>
            <w:r w:rsidRPr="001957BF">
              <w:t>6%</w:t>
            </w:r>
          </w:p>
        </w:tc>
        <w:tc>
          <w:tcPr>
            <w:tcW w:w="1190" w:type="dxa"/>
            <w:tcBorders>
              <w:top w:val="single" w:sz="8" w:space="0" w:color="auto"/>
            </w:tcBorders>
            <w:shd w:val="clear" w:color="auto" w:fill="auto"/>
            <w:vAlign w:val="center"/>
          </w:tcPr>
          <w:p w14:paraId="6F0B529E" w14:textId="77777777" w:rsidR="003E18A8" w:rsidRPr="001957BF" w:rsidRDefault="003E18A8" w:rsidP="00961A7C">
            <w:pPr>
              <w:tabs>
                <w:tab w:val="left" w:pos="227"/>
                <w:tab w:val="left" w:pos="284"/>
                <w:tab w:val="left" w:pos="397"/>
                <w:tab w:val="left" w:pos="567"/>
              </w:tabs>
              <w:spacing w:before="40" w:after="40"/>
              <w:jc w:val="center"/>
              <w:rPr>
                <w:b/>
              </w:rPr>
            </w:pPr>
            <w:r w:rsidRPr="001957BF">
              <w:t>11</w:t>
            </w:r>
            <w:r w:rsidR="002649FA" w:rsidRPr="001957BF">
              <w:t>,</w:t>
            </w:r>
            <w:r w:rsidRPr="001957BF">
              <w:t>1%</w:t>
            </w:r>
          </w:p>
        </w:tc>
        <w:tc>
          <w:tcPr>
            <w:tcW w:w="1191" w:type="dxa"/>
            <w:tcBorders>
              <w:top w:val="single" w:sz="8" w:space="0" w:color="auto"/>
            </w:tcBorders>
            <w:shd w:val="clear" w:color="auto" w:fill="auto"/>
            <w:vAlign w:val="center"/>
          </w:tcPr>
          <w:p w14:paraId="206D7714" w14:textId="77777777" w:rsidR="003E18A8" w:rsidRPr="001957BF" w:rsidRDefault="003E18A8" w:rsidP="00961A7C">
            <w:pPr>
              <w:tabs>
                <w:tab w:val="left" w:pos="227"/>
                <w:tab w:val="left" w:pos="284"/>
                <w:tab w:val="left" w:pos="397"/>
                <w:tab w:val="left" w:pos="567"/>
              </w:tabs>
              <w:spacing w:before="40" w:after="40"/>
              <w:jc w:val="center"/>
              <w:rPr>
                <w:b/>
              </w:rPr>
            </w:pPr>
            <w:r w:rsidRPr="001957BF">
              <w:t>19</w:t>
            </w:r>
            <w:r w:rsidR="002649FA" w:rsidRPr="001957BF">
              <w:t>,</w:t>
            </w:r>
            <w:r w:rsidRPr="001957BF">
              <w:t>4%</w:t>
            </w:r>
          </w:p>
        </w:tc>
        <w:tc>
          <w:tcPr>
            <w:tcW w:w="1191" w:type="dxa"/>
            <w:tcBorders>
              <w:top w:val="single" w:sz="8" w:space="0" w:color="auto"/>
            </w:tcBorders>
            <w:shd w:val="clear" w:color="auto" w:fill="auto"/>
            <w:vAlign w:val="center"/>
          </w:tcPr>
          <w:p w14:paraId="227E0186" w14:textId="77777777" w:rsidR="003E18A8" w:rsidRPr="001957BF" w:rsidRDefault="003E18A8" w:rsidP="00961A7C">
            <w:pPr>
              <w:tabs>
                <w:tab w:val="left" w:pos="227"/>
                <w:tab w:val="left" w:pos="284"/>
                <w:tab w:val="left" w:pos="397"/>
                <w:tab w:val="left" w:pos="567"/>
              </w:tabs>
              <w:spacing w:before="40" w:after="40"/>
              <w:jc w:val="center"/>
              <w:rPr>
                <w:b/>
              </w:rPr>
            </w:pPr>
            <w:r w:rsidRPr="001957BF">
              <w:t>12</w:t>
            </w:r>
            <w:r w:rsidR="002649FA" w:rsidRPr="001957BF">
              <w:t>,</w:t>
            </w:r>
            <w:r w:rsidRPr="001957BF">
              <w:t>4%</w:t>
            </w:r>
          </w:p>
        </w:tc>
      </w:tr>
      <w:tr w:rsidR="003B4358" w:rsidRPr="00E96466" w14:paraId="28B0938C" w14:textId="77777777" w:rsidTr="00E64332">
        <w:tc>
          <w:tcPr>
            <w:tcW w:w="3261" w:type="dxa"/>
            <w:shd w:val="clear" w:color="auto" w:fill="auto"/>
            <w:vAlign w:val="center"/>
          </w:tcPr>
          <w:p w14:paraId="3298B031" w14:textId="77777777" w:rsidR="003E18A8" w:rsidRPr="001957BF" w:rsidRDefault="003E18A8" w:rsidP="001E24AB">
            <w:pPr>
              <w:tabs>
                <w:tab w:val="left" w:pos="227"/>
                <w:tab w:val="left" w:pos="284"/>
                <w:tab w:val="left" w:pos="397"/>
                <w:tab w:val="left" w:pos="567"/>
              </w:tabs>
              <w:spacing w:before="40" w:after="40"/>
              <w:rPr>
                <w:b/>
                <w:sz w:val="18"/>
                <w:szCs w:val="18"/>
              </w:rPr>
            </w:pPr>
            <w:r w:rsidRPr="001957BF">
              <w:rPr>
                <w:sz w:val="18"/>
                <w:szCs w:val="18"/>
              </w:rPr>
              <w:t>Falta de informação sobre tecnologia</w:t>
            </w:r>
          </w:p>
        </w:tc>
        <w:tc>
          <w:tcPr>
            <w:tcW w:w="1190" w:type="dxa"/>
            <w:shd w:val="clear" w:color="auto" w:fill="auto"/>
            <w:vAlign w:val="center"/>
          </w:tcPr>
          <w:p w14:paraId="26AC05D8" w14:textId="77777777" w:rsidR="003E18A8" w:rsidRPr="001957BF" w:rsidRDefault="003E18A8" w:rsidP="00961A7C">
            <w:pPr>
              <w:tabs>
                <w:tab w:val="left" w:pos="227"/>
                <w:tab w:val="left" w:pos="284"/>
                <w:tab w:val="left" w:pos="397"/>
                <w:tab w:val="left" w:pos="567"/>
              </w:tabs>
              <w:spacing w:before="40" w:after="40"/>
              <w:jc w:val="center"/>
              <w:rPr>
                <w:b/>
              </w:rPr>
            </w:pPr>
            <w:r w:rsidRPr="001957BF">
              <w:t>5</w:t>
            </w:r>
            <w:r w:rsidR="002649FA" w:rsidRPr="001957BF">
              <w:t>,</w:t>
            </w:r>
            <w:r w:rsidRPr="001957BF">
              <w:t>2%</w:t>
            </w:r>
          </w:p>
        </w:tc>
        <w:tc>
          <w:tcPr>
            <w:tcW w:w="1191" w:type="dxa"/>
            <w:shd w:val="clear" w:color="auto" w:fill="auto"/>
            <w:vAlign w:val="center"/>
          </w:tcPr>
          <w:p w14:paraId="3068F23B" w14:textId="77777777" w:rsidR="003E18A8" w:rsidRPr="001957BF" w:rsidRDefault="003E18A8" w:rsidP="00961A7C">
            <w:pPr>
              <w:tabs>
                <w:tab w:val="left" w:pos="227"/>
                <w:tab w:val="left" w:pos="284"/>
                <w:tab w:val="left" w:pos="397"/>
                <w:tab w:val="left" w:pos="567"/>
              </w:tabs>
              <w:spacing w:before="40" w:after="40"/>
              <w:jc w:val="center"/>
              <w:rPr>
                <w:b/>
              </w:rPr>
            </w:pPr>
            <w:r w:rsidRPr="001957BF">
              <w:t>6</w:t>
            </w:r>
            <w:r w:rsidR="002649FA" w:rsidRPr="001957BF">
              <w:t>,</w:t>
            </w:r>
            <w:r w:rsidRPr="001957BF">
              <w:t>6%</w:t>
            </w:r>
          </w:p>
        </w:tc>
        <w:tc>
          <w:tcPr>
            <w:tcW w:w="1190" w:type="dxa"/>
            <w:shd w:val="clear" w:color="auto" w:fill="auto"/>
            <w:vAlign w:val="center"/>
          </w:tcPr>
          <w:p w14:paraId="45219534" w14:textId="77777777" w:rsidR="003E18A8" w:rsidRPr="001957BF" w:rsidRDefault="003E18A8" w:rsidP="00961A7C">
            <w:pPr>
              <w:tabs>
                <w:tab w:val="left" w:pos="227"/>
                <w:tab w:val="left" w:pos="284"/>
                <w:tab w:val="left" w:pos="397"/>
                <w:tab w:val="left" w:pos="567"/>
              </w:tabs>
              <w:spacing w:before="40" w:after="40"/>
              <w:jc w:val="center"/>
              <w:rPr>
                <w:b/>
              </w:rPr>
            </w:pPr>
            <w:r w:rsidRPr="001957BF">
              <w:t>5</w:t>
            </w:r>
            <w:r w:rsidR="002649FA" w:rsidRPr="001957BF">
              <w:t>,</w:t>
            </w:r>
            <w:r w:rsidRPr="001957BF">
              <w:t>2%</w:t>
            </w:r>
          </w:p>
        </w:tc>
        <w:tc>
          <w:tcPr>
            <w:tcW w:w="1191" w:type="dxa"/>
            <w:shd w:val="clear" w:color="auto" w:fill="auto"/>
            <w:vAlign w:val="center"/>
          </w:tcPr>
          <w:p w14:paraId="3465C894" w14:textId="77777777" w:rsidR="003E18A8" w:rsidRPr="001957BF" w:rsidRDefault="003E18A8" w:rsidP="00961A7C">
            <w:pPr>
              <w:tabs>
                <w:tab w:val="left" w:pos="227"/>
                <w:tab w:val="left" w:pos="284"/>
                <w:tab w:val="left" w:pos="397"/>
                <w:tab w:val="left" w:pos="567"/>
              </w:tabs>
              <w:spacing w:before="40" w:after="40"/>
              <w:jc w:val="center"/>
              <w:rPr>
                <w:b/>
              </w:rPr>
            </w:pPr>
            <w:r w:rsidRPr="001957BF">
              <w:t>8</w:t>
            </w:r>
            <w:r w:rsidR="002649FA" w:rsidRPr="001957BF">
              <w:t>,</w:t>
            </w:r>
            <w:r w:rsidRPr="001957BF">
              <w:t>2%</w:t>
            </w:r>
          </w:p>
        </w:tc>
        <w:tc>
          <w:tcPr>
            <w:tcW w:w="1191" w:type="dxa"/>
            <w:shd w:val="clear" w:color="auto" w:fill="auto"/>
            <w:vAlign w:val="center"/>
          </w:tcPr>
          <w:p w14:paraId="3FCCA3B1" w14:textId="77777777" w:rsidR="003E18A8" w:rsidRPr="001957BF" w:rsidRDefault="003E18A8" w:rsidP="00961A7C">
            <w:pPr>
              <w:tabs>
                <w:tab w:val="left" w:pos="227"/>
                <w:tab w:val="left" w:pos="284"/>
                <w:tab w:val="left" w:pos="397"/>
                <w:tab w:val="left" w:pos="567"/>
              </w:tabs>
              <w:spacing w:before="40" w:after="40"/>
              <w:jc w:val="center"/>
              <w:rPr>
                <w:b/>
              </w:rPr>
            </w:pPr>
            <w:r w:rsidRPr="001957BF">
              <w:t>5</w:t>
            </w:r>
            <w:r w:rsidR="002649FA" w:rsidRPr="001957BF">
              <w:t>,</w:t>
            </w:r>
            <w:r w:rsidRPr="001957BF">
              <w:t>7%</w:t>
            </w:r>
          </w:p>
        </w:tc>
      </w:tr>
      <w:tr w:rsidR="003B4358" w:rsidRPr="00E96466" w14:paraId="722602CA" w14:textId="77777777" w:rsidTr="00E64332">
        <w:tc>
          <w:tcPr>
            <w:tcW w:w="3261" w:type="dxa"/>
            <w:shd w:val="clear" w:color="auto" w:fill="auto"/>
            <w:vAlign w:val="center"/>
          </w:tcPr>
          <w:p w14:paraId="191917F6" w14:textId="77777777" w:rsidR="003E18A8" w:rsidRPr="001957BF" w:rsidRDefault="003E18A8" w:rsidP="001E24AB">
            <w:pPr>
              <w:tabs>
                <w:tab w:val="left" w:pos="227"/>
                <w:tab w:val="left" w:pos="284"/>
                <w:tab w:val="left" w:pos="397"/>
                <w:tab w:val="left" w:pos="567"/>
              </w:tabs>
              <w:spacing w:before="40" w:after="40"/>
              <w:rPr>
                <w:b/>
                <w:sz w:val="18"/>
                <w:szCs w:val="18"/>
              </w:rPr>
            </w:pPr>
            <w:r w:rsidRPr="001957BF">
              <w:rPr>
                <w:sz w:val="18"/>
                <w:szCs w:val="18"/>
              </w:rPr>
              <w:t>Falta de informação sobre mercados</w:t>
            </w:r>
          </w:p>
        </w:tc>
        <w:tc>
          <w:tcPr>
            <w:tcW w:w="1190" w:type="dxa"/>
            <w:shd w:val="clear" w:color="auto" w:fill="auto"/>
            <w:vAlign w:val="center"/>
          </w:tcPr>
          <w:p w14:paraId="72B8F163" w14:textId="77777777" w:rsidR="003E18A8" w:rsidRPr="001957BF" w:rsidRDefault="003E18A8" w:rsidP="00961A7C">
            <w:pPr>
              <w:tabs>
                <w:tab w:val="left" w:pos="227"/>
                <w:tab w:val="left" w:pos="284"/>
                <w:tab w:val="left" w:pos="397"/>
                <w:tab w:val="left" w:pos="567"/>
              </w:tabs>
              <w:spacing w:before="40" w:after="40"/>
              <w:jc w:val="center"/>
              <w:rPr>
                <w:b/>
              </w:rPr>
            </w:pPr>
            <w:r w:rsidRPr="001957BF">
              <w:t>4</w:t>
            </w:r>
            <w:r w:rsidR="002649FA" w:rsidRPr="001957BF">
              <w:t>,</w:t>
            </w:r>
            <w:r w:rsidRPr="001957BF">
              <w:t>3%</w:t>
            </w:r>
          </w:p>
        </w:tc>
        <w:tc>
          <w:tcPr>
            <w:tcW w:w="1191" w:type="dxa"/>
            <w:shd w:val="clear" w:color="auto" w:fill="auto"/>
            <w:vAlign w:val="center"/>
          </w:tcPr>
          <w:p w14:paraId="3C114592" w14:textId="77777777" w:rsidR="003E18A8" w:rsidRPr="001957BF" w:rsidRDefault="003E18A8" w:rsidP="00961A7C">
            <w:pPr>
              <w:tabs>
                <w:tab w:val="left" w:pos="227"/>
                <w:tab w:val="left" w:pos="284"/>
                <w:tab w:val="left" w:pos="397"/>
                <w:tab w:val="left" w:pos="567"/>
              </w:tabs>
              <w:spacing w:before="40" w:after="40"/>
              <w:jc w:val="center"/>
              <w:rPr>
                <w:b/>
              </w:rPr>
            </w:pPr>
            <w:r w:rsidRPr="001957BF">
              <w:t>5</w:t>
            </w:r>
            <w:r w:rsidR="002649FA" w:rsidRPr="001957BF">
              <w:t>,</w:t>
            </w:r>
            <w:r w:rsidRPr="001957BF">
              <w:t>8%</w:t>
            </w:r>
          </w:p>
        </w:tc>
        <w:tc>
          <w:tcPr>
            <w:tcW w:w="1190" w:type="dxa"/>
            <w:shd w:val="clear" w:color="auto" w:fill="auto"/>
            <w:vAlign w:val="center"/>
          </w:tcPr>
          <w:p w14:paraId="7DA6CD60" w14:textId="77777777" w:rsidR="003E18A8" w:rsidRPr="001957BF" w:rsidRDefault="003E18A8" w:rsidP="00961A7C">
            <w:pPr>
              <w:tabs>
                <w:tab w:val="left" w:pos="227"/>
                <w:tab w:val="left" w:pos="284"/>
                <w:tab w:val="left" w:pos="397"/>
                <w:tab w:val="left" w:pos="567"/>
              </w:tabs>
              <w:spacing w:before="40" w:after="40"/>
              <w:jc w:val="center"/>
              <w:rPr>
                <w:b/>
              </w:rPr>
            </w:pPr>
            <w:r w:rsidRPr="001957BF">
              <w:t>4</w:t>
            </w:r>
            <w:r w:rsidR="002649FA" w:rsidRPr="001957BF">
              <w:t>,</w:t>
            </w:r>
            <w:r w:rsidRPr="001957BF">
              <w:t>4%</w:t>
            </w:r>
          </w:p>
        </w:tc>
        <w:tc>
          <w:tcPr>
            <w:tcW w:w="1191" w:type="dxa"/>
            <w:shd w:val="clear" w:color="auto" w:fill="auto"/>
            <w:vAlign w:val="center"/>
          </w:tcPr>
          <w:p w14:paraId="0321C5D4" w14:textId="77777777" w:rsidR="003E18A8" w:rsidRPr="001957BF" w:rsidRDefault="003E18A8" w:rsidP="00961A7C">
            <w:pPr>
              <w:tabs>
                <w:tab w:val="left" w:pos="227"/>
                <w:tab w:val="left" w:pos="284"/>
                <w:tab w:val="left" w:pos="397"/>
                <w:tab w:val="left" w:pos="567"/>
              </w:tabs>
              <w:spacing w:before="40" w:after="40"/>
              <w:jc w:val="center"/>
              <w:rPr>
                <w:b/>
              </w:rPr>
            </w:pPr>
            <w:r w:rsidRPr="001957BF">
              <w:t>6</w:t>
            </w:r>
            <w:r w:rsidR="002649FA" w:rsidRPr="001957BF">
              <w:t>,</w:t>
            </w:r>
            <w:r w:rsidRPr="001957BF">
              <w:t>3%</w:t>
            </w:r>
          </w:p>
        </w:tc>
        <w:tc>
          <w:tcPr>
            <w:tcW w:w="1191" w:type="dxa"/>
            <w:shd w:val="clear" w:color="auto" w:fill="auto"/>
            <w:vAlign w:val="center"/>
          </w:tcPr>
          <w:p w14:paraId="41AF037F" w14:textId="77777777" w:rsidR="003E18A8" w:rsidRPr="001957BF" w:rsidRDefault="003E18A8" w:rsidP="00961A7C">
            <w:pPr>
              <w:tabs>
                <w:tab w:val="left" w:pos="227"/>
                <w:tab w:val="left" w:pos="284"/>
                <w:tab w:val="left" w:pos="397"/>
                <w:tab w:val="left" w:pos="567"/>
              </w:tabs>
              <w:spacing w:before="40" w:after="40"/>
              <w:jc w:val="center"/>
              <w:rPr>
                <w:b/>
              </w:rPr>
            </w:pPr>
            <w:r w:rsidRPr="001957BF">
              <w:t>4</w:t>
            </w:r>
            <w:r w:rsidR="002649FA" w:rsidRPr="001957BF">
              <w:t>,</w:t>
            </w:r>
            <w:r w:rsidRPr="001957BF">
              <w:t>7%</w:t>
            </w:r>
          </w:p>
        </w:tc>
      </w:tr>
      <w:tr w:rsidR="003B4358" w:rsidRPr="00E96466" w14:paraId="78CAAC41" w14:textId="77777777" w:rsidTr="00E64332">
        <w:tc>
          <w:tcPr>
            <w:tcW w:w="3261" w:type="dxa"/>
            <w:shd w:val="clear" w:color="auto" w:fill="auto"/>
            <w:vAlign w:val="center"/>
          </w:tcPr>
          <w:p w14:paraId="3746068E" w14:textId="77777777" w:rsidR="003E18A8" w:rsidRPr="001957BF" w:rsidRDefault="003E18A8" w:rsidP="001E24AB">
            <w:pPr>
              <w:tabs>
                <w:tab w:val="left" w:pos="227"/>
                <w:tab w:val="left" w:pos="284"/>
                <w:tab w:val="left" w:pos="397"/>
                <w:tab w:val="left" w:pos="567"/>
              </w:tabs>
              <w:spacing w:before="40" w:after="40"/>
              <w:rPr>
                <w:b/>
                <w:sz w:val="18"/>
                <w:szCs w:val="18"/>
              </w:rPr>
            </w:pPr>
            <w:r w:rsidRPr="001957BF">
              <w:rPr>
                <w:sz w:val="18"/>
                <w:szCs w:val="18"/>
              </w:rPr>
              <w:t>Escassez de serviços técnicos</w:t>
            </w:r>
          </w:p>
        </w:tc>
        <w:tc>
          <w:tcPr>
            <w:tcW w:w="1190" w:type="dxa"/>
            <w:shd w:val="clear" w:color="auto" w:fill="auto"/>
            <w:vAlign w:val="center"/>
          </w:tcPr>
          <w:p w14:paraId="14764324" w14:textId="77777777" w:rsidR="003E18A8" w:rsidRPr="001957BF" w:rsidRDefault="003E18A8" w:rsidP="00961A7C">
            <w:pPr>
              <w:tabs>
                <w:tab w:val="left" w:pos="227"/>
                <w:tab w:val="left" w:pos="284"/>
                <w:tab w:val="left" w:pos="397"/>
                <w:tab w:val="left" w:pos="567"/>
              </w:tabs>
              <w:spacing w:before="40" w:after="40"/>
              <w:jc w:val="center"/>
              <w:rPr>
                <w:b/>
              </w:rPr>
            </w:pPr>
            <w:r w:rsidRPr="001957BF">
              <w:t>5</w:t>
            </w:r>
            <w:r w:rsidR="002649FA" w:rsidRPr="001957BF">
              <w:t>,</w:t>
            </w:r>
            <w:r w:rsidRPr="001957BF">
              <w:t>5%</w:t>
            </w:r>
          </w:p>
        </w:tc>
        <w:tc>
          <w:tcPr>
            <w:tcW w:w="1191" w:type="dxa"/>
            <w:shd w:val="clear" w:color="auto" w:fill="auto"/>
            <w:vAlign w:val="center"/>
          </w:tcPr>
          <w:p w14:paraId="17FA6F7B" w14:textId="77777777" w:rsidR="003E18A8" w:rsidRPr="001957BF" w:rsidRDefault="003E18A8" w:rsidP="00961A7C">
            <w:pPr>
              <w:tabs>
                <w:tab w:val="left" w:pos="227"/>
                <w:tab w:val="left" w:pos="284"/>
                <w:tab w:val="left" w:pos="397"/>
                <w:tab w:val="left" w:pos="567"/>
              </w:tabs>
              <w:spacing w:before="40" w:after="40"/>
              <w:jc w:val="center"/>
              <w:rPr>
                <w:b/>
              </w:rPr>
            </w:pPr>
            <w:r w:rsidRPr="001957BF">
              <w:t>7</w:t>
            </w:r>
            <w:r w:rsidR="002649FA" w:rsidRPr="001957BF">
              <w:t>,</w:t>
            </w:r>
            <w:r w:rsidRPr="001957BF">
              <w:t>1%</w:t>
            </w:r>
          </w:p>
        </w:tc>
        <w:tc>
          <w:tcPr>
            <w:tcW w:w="1190" w:type="dxa"/>
            <w:shd w:val="clear" w:color="auto" w:fill="auto"/>
            <w:vAlign w:val="center"/>
          </w:tcPr>
          <w:p w14:paraId="7D938C62" w14:textId="77777777" w:rsidR="003E18A8" w:rsidRPr="001957BF" w:rsidRDefault="003E18A8" w:rsidP="00961A7C">
            <w:pPr>
              <w:tabs>
                <w:tab w:val="left" w:pos="227"/>
                <w:tab w:val="left" w:pos="284"/>
                <w:tab w:val="left" w:pos="397"/>
                <w:tab w:val="left" w:pos="567"/>
              </w:tabs>
              <w:spacing w:before="40" w:after="40"/>
              <w:jc w:val="center"/>
              <w:rPr>
                <w:b/>
              </w:rPr>
            </w:pPr>
            <w:r w:rsidRPr="001957BF">
              <w:t>5</w:t>
            </w:r>
            <w:r w:rsidR="002649FA" w:rsidRPr="001957BF">
              <w:t>,</w:t>
            </w:r>
            <w:r w:rsidRPr="001957BF">
              <w:t>6%</w:t>
            </w:r>
          </w:p>
        </w:tc>
        <w:tc>
          <w:tcPr>
            <w:tcW w:w="1191" w:type="dxa"/>
            <w:shd w:val="clear" w:color="auto" w:fill="auto"/>
            <w:vAlign w:val="center"/>
          </w:tcPr>
          <w:p w14:paraId="207D8F7A" w14:textId="77777777" w:rsidR="003E18A8" w:rsidRPr="001957BF" w:rsidRDefault="003E18A8" w:rsidP="00961A7C">
            <w:pPr>
              <w:tabs>
                <w:tab w:val="left" w:pos="227"/>
                <w:tab w:val="left" w:pos="284"/>
                <w:tab w:val="left" w:pos="397"/>
                <w:tab w:val="left" w:pos="567"/>
              </w:tabs>
              <w:spacing w:before="40" w:after="40"/>
              <w:jc w:val="center"/>
              <w:rPr>
                <w:b/>
              </w:rPr>
            </w:pPr>
            <w:r w:rsidRPr="001957BF">
              <w:t>9</w:t>
            </w:r>
            <w:r w:rsidR="002649FA" w:rsidRPr="001957BF">
              <w:t>,</w:t>
            </w:r>
            <w:r w:rsidRPr="001957BF">
              <w:t>3%</w:t>
            </w:r>
          </w:p>
        </w:tc>
        <w:tc>
          <w:tcPr>
            <w:tcW w:w="1191" w:type="dxa"/>
            <w:shd w:val="clear" w:color="auto" w:fill="auto"/>
            <w:vAlign w:val="center"/>
          </w:tcPr>
          <w:p w14:paraId="0BF6092D" w14:textId="77777777" w:rsidR="003E18A8" w:rsidRPr="001957BF" w:rsidRDefault="003E18A8" w:rsidP="00961A7C">
            <w:pPr>
              <w:tabs>
                <w:tab w:val="left" w:pos="227"/>
                <w:tab w:val="left" w:pos="284"/>
                <w:tab w:val="left" w:pos="397"/>
                <w:tab w:val="left" w:pos="567"/>
              </w:tabs>
              <w:spacing w:before="40" w:after="40"/>
              <w:jc w:val="center"/>
              <w:rPr>
                <w:b/>
              </w:rPr>
            </w:pPr>
            <w:r w:rsidRPr="001957BF">
              <w:t>6</w:t>
            </w:r>
            <w:r w:rsidR="002649FA" w:rsidRPr="001957BF">
              <w:t>,</w:t>
            </w:r>
            <w:r w:rsidRPr="001957BF">
              <w:t>2%</w:t>
            </w:r>
          </w:p>
        </w:tc>
      </w:tr>
      <w:tr w:rsidR="003B4358" w:rsidRPr="00E96466" w14:paraId="76404E76" w14:textId="77777777" w:rsidTr="00E64332">
        <w:tc>
          <w:tcPr>
            <w:tcW w:w="3261" w:type="dxa"/>
            <w:tcBorders>
              <w:bottom w:val="single" w:sz="8" w:space="0" w:color="auto"/>
            </w:tcBorders>
            <w:shd w:val="clear" w:color="auto" w:fill="auto"/>
            <w:vAlign w:val="center"/>
          </w:tcPr>
          <w:p w14:paraId="123F4090" w14:textId="77777777" w:rsidR="003E18A8" w:rsidRPr="001957BF" w:rsidRDefault="003E18A8" w:rsidP="001E24AB">
            <w:pPr>
              <w:tabs>
                <w:tab w:val="left" w:pos="227"/>
                <w:tab w:val="left" w:pos="284"/>
                <w:tab w:val="left" w:pos="397"/>
                <w:tab w:val="left" w:pos="567"/>
              </w:tabs>
              <w:spacing w:before="40" w:after="40"/>
              <w:rPr>
                <w:b/>
                <w:sz w:val="18"/>
                <w:szCs w:val="18"/>
              </w:rPr>
            </w:pPr>
            <w:r w:rsidRPr="001957BF">
              <w:rPr>
                <w:sz w:val="18"/>
                <w:szCs w:val="18"/>
              </w:rPr>
              <w:t>Escassas possibilidades de cooperação</w:t>
            </w:r>
          </w:p>
        </w:tc>
        <w:tc>
          <w:tcPr>
            <w:tcW w:w="1190" w:type="dxa"/>
            <w:tcBorders>
              <w:bottom w:val="single" w:sz="8" w:space="0" w:color="auto"/>
            </w:tcBorders>
            <w:shd w:val="clear" w:color="auto" w:fill="auto"/>
            <w:vAlign w:val="center"/>
          </w:tcPr>
          <w:p w14:paraId="1F9C8D09" w14:textId="77777777" w:rsidR="003E18A8" w:rsidRPr="001957BF" w:rsidRDefault="003E18A8" w:rsidP="00961A7C">
            <w:pPr>
              <w:tabs>
                <w:tab w:val="left" w:pos="227"/>
                <w:tab w:val="left" w:pos="284"/>
                <w:tab w:val="left" w:pos="397"/>
                <w:tab w:val="left" w:pos="567"/>
              </w:tabs>
              <w:spacing w:before="40" w:after="40"/>
              <w:jc w:val="center"/>
              <w:rPr>
                <w:b/>
              </w:rPr>
            </w:pPr>
            <w:r w:rsidRPr="001957BF">
              <w:t>5</w:t>
            </w:r>
            <w:r w:rsidR="002649FA" w:rsidRPr="001957BF">
              <w:t>,</w:t>
            </w:r>
            <w:r w:rsidRPr="001957BF">
              <w:t>6%</w:t>
            </w:r>
          </w:p>
        </w:tc>
        <w:tc>
          <w:tcPr>
            <w:tcW w:w="1191" w:type="dxa"/>
            <w:tcBorders>
              <w:bottom w:val="single" w:sz="8" w:space="0" w:color="auto"/>
            </w:tcBorders>
            <w:shd w:val="clear" w:color="auto" w:fill="auto"/>
            <w:vAlign w:val="center"/>
          </w:tcPr>
          <w:p w14:paraId="53DB5900" w14:textId="77777777" w:rsidR="003E18A8" w:rsidRPr="001957BF" w:rsidRDefault="003E18A8" w:rsidP="00961A7C">
            <w:pPr>
              <w:tabs>
                <w:tab w:val="left" w:pos="227"/>
                <w:tab w:val="left" w:pos="284"/>
                <w:tab w:val="left" w:pos="397"/>
                <w:tab w:val="left" w:pos="567"/>
              </w:tabs>
              <w:spacing w:before="40" w:after="40"/>
              <w:jc w:val="center"/>
              <w:rPr>
                <w:b/>
              </w:rPr>
            </w:pPr>
            <w:r w:rsidRPr="001957BF">
              <w:t>7</w:t>
            </w:r>
            <w:r w:rsidR="002649FA" w:rsidRPr="001957BF">
              <w:t>,</w:t>
            </w:r>
            <w:r w:rsidRPr="001957BF">
              <w:t>8%</w:t>
            </w:r>
          </w:p>
        </w:tc>
        <w:tc>
          <w:tcPr>
            <w:tcW w:w="1190" w:type="dxa"/>
            <w:tcBorders>
              <w:bottom w:val="single" w:sz="8" w:space="0" w:color="auto"/>
            </w:tcBorders>
            <w:shd w:val="clear" w:color="auto" w:fill="auto"/>
            <w:vAlign w:val="center"/>
          </w:tcPr>
          <w:p w14:paraId="20F240D3" w14:textId="77777777" w:rsidR="003E18A8" w:rsidRPr="001957BF" w:rsidRDefault="003E18A8" w:rsidP="00961A7C">
            <w:pPr>
              <w:tabs>
                <w:tab w:val="left" w:pos="227"/>
                <w:tab w:val="left" w:pos="284"/>
                <w:tab w:val="left" w:pos="397"/>
                <w:tab w:val="left" w:pos="567"/>
              </w:tabs>
              <w:spacing w:before="40" w:after="40"/>
              <w:jc w:val="center"/>
              <w:rPr>
                <w:b/>
              </w:rPr>
            </w:pPr>
            <w:r w:rsidRPr="001957BF">
              <w:t>5</w:t>
            </w:r>
            <w:r w:rsidR="002649FA" w:rsidRPr="001957BF">
              <w:t>,</w:t>
            </w:r>
            <w:r w:rsidRPr="001957BF">
              <w:t>7%</w:t>
            </w:r>
          </w:p>
        </w:tc>
        <w:tc>
          <w:tcPr>
            <w:tcW w:w="1191" w:type="dxa"/>
            <w:tcBorders>
              <w:bottom w:val="single" w:sz="8" w:space="0" w:color="auto"/>
            </w:tcBorders>
            <w:shd w:val="clear" w:color="auto" w:fill="auto"/>
            <w:vAlign w:val="center"/>
          </w:tcPr>
          <w:p w14:paraId="08ADA0BE" w14:textId="77777777" w:rsidR="003E18A8" w:rsidRPr="001957BF" w:rsidRDefault="003E18A8" w:rsidP="00961A7C">
            <w:pPr>
              <w:tabs>
                <w:tab w:val="left" w:pos="227"/>
                <w:tab w:val="left" w:pos="284"/>
                <w:tab w:val="left" w:pos="397"/>
                <w:tab w:val="left" w:pos="567"/>
              </w:tabs>
              <w:spacing w:before="40" w:after="40"/>
              <w:jc w:val="center"/>
              <w:rPr>
                <w:b/>
              </w:rPr>
            </w:pPr>
            <w:r w:rsidRPr="001957BF">
              <w:t>11</w:t>
            </w:r>
            <w:r w:rsidR="002649FA" w:rsidRPr="001957BF">
              <w:t>,</w:t>
            </w:r>
            <w:r w:rsidRPr="001957BF">
              <w:t>8%</w:t>
            </w:r>
          </w:p>
        </w:tc>
        <w:tc>
          <w:tcPr>
            <w:tcW w:w="1191" w:type="dxa"/>
            <w:tcBorders>
              <w:bottom w:val="single" w:sz="8" w:space="0" w:color="auto"/>
            </w:tcBorders>
            <w:shd w:val="clear" w:color="auto" w:fill="auto"/>
            <w:vAlign w:val="center"/>
          </w:tcPr>
          <w:p w14:paraId="07FC5472" w14:textId="77777777" w:rsidR="003E18A8" w:rsidRPr="001957BF" w:rsidRDefault="003E18A8" w:rsidP="00961A7C">
            <w:pPr>
              <w:tabs>
                <w:tab w:val="left" w:pos="227"/>
                <w:tab w:val="left" w:pos="284"/>
                <w:tab w:val="left" w:pos="397"/>
                <w:tab w:val="left" w:pos="567"/>
              </w:tabs>
              <w:spacing w:before="40" w:after="40"/>
              <w:jc w:val="center"/>
              <w:rPr>
                <w:b/>
              </w:rPr>
            </w:pPr>
            <w:r w:rsidRPr="001957BF">
              <w:t>6</w:t>
            </w:r>
            <w:r w:rsidR="002649FA" w:rsidRPr="001957BF">
              <w:t>,</w:t>
            </w:r>
            <w:r w:rsidRPr="001957BF">
              <w:t>7%</w:t>
            </w:r>
          </w:p>
        </w:tc>
      </w:tr>
      <w:tr w:rsidR="00E64332" w:rsidRPr="00E96466" w14:paraId="4BA04A66" w14:textId="77777777" w:rsidTr="00E64332">
        <w:tc>
          <w:tcPr>
            <w:tcW w:w="3261" w:type="dxa"/>
            <w:tcBorders>
              <w:top w:val="single" w:sz="8" w:space="0" w:color="auto"/>
              <w:bottom w:val="single" w:sz="8" w:space="0" w:color="auto"/>
            </w:tcBorders>
            <w:shd w:val="clear" w:color="auto" w:fill="BFBFBF" w:themeFill="background1" w:themeFillShade="BF"/>
            <w:vAlign w:val="center"/>
          </w:tcPr>
          <w:p w14:paraId="1C0EF5C9" w14:textId="77777777" w:rsidR="003E18A8" w:rsidRPr="001957BF" w:rsidRDefault="003B4358" w:rsidP="001E24AB">
            <w:pPr>
              <w:tabs>
                <w:tab w:val="left" w:pos="227"/>
                <w:tab w:val="left" w:pos="284"/>
                <w:tab w:val="left" w:pos="397"/>
                <w:tab w:val="left" w:pos="567"/>
              </w:tabs>
              <w:spacing w:before="40" w:after="40"/>
              <w:rPr>
                <w:b/>
                <w:sz w:val="18"/>
                <w:szCs w:val="18"/>
              </w:rPr>
            </w:pPr>
            <w:r w:rsidRPr="001957BF">
              <w:rPr>
                <w:b/>
                <w:sz w:val="18"/>
                <w:szCs w:val="18"/>
              </w:rPr>
              <w:t xml:space="preserve">Obstáculos de </w:t>
            </w:r>
            <w:r w:rsidR="003E18A8" w:rsidRPr="001957BF">
              <w:rPr>
                <w:b/>
                <w:sz w:val="18"/>
                <w:szCs w:val="18"/>
              </w:rPr>
              <w:t>Mercado</w:t>
            </w:r>
          </w:p>
        </w:tc>
        <w:tc>
          <w:tcPr>
            <w:tcW w:w="1190" w:type="dxa"/>
            <w:tcBorders>
              <w:top w:val="single" w:sz="8" w:space="0" w:color="auto"/>
              <w:bottom w:val="single" w:sz="8" w:space="0" w:color="auto"/>
            </w:tcBorders>
            <w:shd w:val="clear" w:color="auto" w:fill="BFBFBF" w:themeFill="background1" w:themeFillShade="BF"/>
            <w:vAlign w:val="center"/>
          </w:tcPr>
          <w:p w14:paraId="04F7EFAC"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4</w:t>
            </w:r>
            <w:r w:rsidR="002649FA" w:rsidRPr="001957BF">
              <w:rPr>
                <w:b/>
              </w:rPr>
              <w:t>,</w:t>
            </w:r>
            <w:r w:rsidRPr="001957BF">
              <w:rPr>
                <w:b/>
              </w:rPr>
              <w:t>2%</w:t>
            </w:r>
          </w:p>
        </w:tc>
        <w:tc>
          <w:tcPr>
            <w:tcW w:w="1191" w:type="dxa"/>
            <w:tcBorders>
              <w:top w:val="single" w:sz="8" w:space="0" w:color="auto"/>
              <w:bottom w:val="single" w:sz="8" w:space="0" w:color="auto"/>
            </w:tcBorders>
            <w:shd w:val="clear" w:color="auto" w:fill="BFBFBF" w:themeFill="background1" w:themeFillShade="BF"/>
            <w:vAlign w:val="center"/>
          </w:tcPr>
          <w:p w14:paraId="36B2502F"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4</w:t>
            </w:r>
            <w:r w:rsidR="002649FA" w:rsidRPr="001957BF">
              <w:rPr>
                <w:b/>
              </w:rPr>
              <w:t>,</w:t>
            </w:r>
            <w:r w:rsidRPr="001957BF">
              <w:rPr>
                <w:b/>
              </w:rPr>
              <w:t>8%</w:t>
            </w:r>
          </w:p>
        </w:tc>
        <w:tc>
          <w:tcPr>
            <w:tcW w:w="1190" w:type="dxa"/>
            <w:tcBorders>
              <w:top w:val="single" w:sz="8" w:space="0" w:color="auto"/>
              <w:bottom w:val="single" w:sz="8" w:space="0" w:color="auto"/>
            </w:tcBorders>
            <w:shd w:val="clear" w:color="auto" w:fill="BFBFBF" w:themeFill="background1" w:themeFillShade="BF"/>
            <w:vAlign w:val="center"/>
          </w:tcPr>
          <w:p w14:paraId="71BAE57A"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4</w:t>
            </w:r>
            <w:r w:rsidR="002649FA" w:rsidRPr="001957BF">
              <w:rPr>
                <w:b/>
              </w:rPr>
              <w:t>,</w:t>
            </w:r>
            <w:r w:rsidRPr="001957BF">
              <w:rPr>
                <w:b/>
              </w:rPr>
              <w:t>2%</w:t>
            </w:r>
          </w:p>
        </w:tc>
        <w:tc>
          <w:tcPr>
            <w:tcW w:w="1191" w:type="dxa"/>
            <w:tcBorders>
              <w:top w:val="single" w:sz="8" w:space="0" w:color="auto"/>
              <w:bottom w:val="single" w:sz="8" w:space="0" w:color="auto"/>
            </w:tcBorders>
            <w:shd w:val="clear" w:color="auto" w:fill="BFBFBF" w:themeFill="background1" w:themeFillShade="BF"/>
            <w:vAlign w:val="center"/>
          </w:tcPr>
          <w:p w14:paraId="2A026153"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10</w:t>
            </w:r>
            <w:r w:rsidR="002649FA" w:rsidRPr="001957BF">
              <w:rPr>
                <w:b/>
              </w:rPr>
              <w:t>,</w:t>
            </w:r>
            <w:r w:rsidRPr="001957BF">
              <w:rPr>
                <w:b/>
              </w:rPr>
              <w:t>0%</w:t>
            </w:r>
          </w:p>
        </w:tc>
        <w:tc>
          <w:tcPr>
            <w:tcW w:w="1191" w:type="dxa"/>
            <w:tcBorders>
              <w:top w:val="single" w:sz="8" w:space="0" w:color="auto"/>
              <w:bottom w:val="single" w:sz="8" w:space="0" w:color="auto"/>
            </w:tcBorders>
            <w:shd w:val="clear" w:color="auto" w:fill="BFBFBF" w:themeFill="background1" w:themeFillShade="BF"/>
            <w:vAlign w:val="center"/>
          </w:tcPr>
          <w:p w14:paraId="385C6520"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5</w:t>
            </w:r>
            <w:r w:rsidR="002649FA" w:rsidRPr="001957BF">
              <w:rPr>
                <w:b/>
              </w:rPr>
              <w:t>,</w:t>
            </w:r>
            <w:r w:rsidRPr="001957BF">
              <w:rPr>
                <w:b/>
              </w:rPr>
              <w:t>1%</w:t>
            </w:r>
          </w:p>
        </w:tc>
      </w:tr>
      <w:tr w:rsidR="003B4358" w:rsidRPr="00E96466" w14:paraId="1E6A3D8D" w14:textId="77777777" w:rsidTr="00E64332">
        <w:tc>
          <w:tcPr>
            <w:tcW w:w="3261" w:type="dxa"/>
            <w:tcBorders>
              <w:top w:val="single" w:sz="8" w:space="0" w:color="auto"/>
              <w:bottom w:val="single" w:sz="8" w:space="0" w:color="auto"/>
            </w:tcBorders>
            <w:shd w:val="clear" w:color="auto" w:fill="auto"/>
            <w:vAlign w:val="center"/>
          </w:tcPr>
          <w:p w14:paraId="5F5319B9" w14:textId="77777777" w:rsidR="003E18A8" w:rsidRPr="001957BF" w:rsidRDefault="003E18A8" w:rsidP="001E24AB">
            <w:pPr>
              <w:tabs>
                <w:tab w:val="left" w:pos="227"/>
                <w:tab w:val="left" w:pos="284"/>
                <w:tab w:val="left" w:pos="397"/>
                <w:tab w:val="left" w:pos="567"/>
              </w:tabs>
              <w:spacing w:before="40" w:after="40"/>
              <w:rPr>
                <w:b/>
                <w:sz w:val="18"/>
                <w:szCs w:val="18"/>
              </w:rPr>
            </w:pPr>
            <w:r w:rsidRPr="001957BF">
              <w:rPr>
                <w:sz w:val="18"/>
                <w:szCs w:val="18"/>
              </w:rPr>
              <w:t>Fraca resposta dos consumidores</w:t>
            </w:r>
          </w:p>
        </w:tc>
        <w:tc>
          <w:tcPr>
            <w:tcW w:w="1190" w:type="dxa"/>
            <w:tcBorders>
              <w:top w:val="single" w:sz="8" w:space="0" w:color="auto"/>
              <w:bottom w:val="single" w:sz="8" w:space="0" w:color="auto"/>
            </w:tcBorders>
            <w:shd w:val="clear" w:color="auto" w:fill="auto"/>
            <w:vAlign w:val="center"/>
          </w:tcPr>
          <w:p w14:paraId="120EB2EA" w14:textId="77777777" w:rsidR="003E18A8" w:rsidRPr="001957BF" w:rsidRDefault="003E18A8" w:rsidP="00961A7C">
            <w:pPr>
              <w:tabs>
                <w:tab w:val="left" w:pos="227"/>
                <w:tab w:val="left" w:pos="284"/>
                <w:tab w:val="left" w:pos="397"/>
                <w:tab w:val="left" w:pos="567"/>
              </w:tabs>
              <w:spacing w:before="40" w:after="40"/>
              <w:jc w:val="center"/>
              <w:rPr>
                <w:b/>
              </w:rPr>
            </w:pPr>
            <w:r w:rsidRPr="001957BF">
              <w:t>4</w:t>
            </w:r>
            <w:r w:rsidR="002649FA" w:rsidRPr="001957BF">
              <w:t>,</w:t>
            </w:r>
            <w:r w:rsidRPr="001957BF">
              <w:t>2%</w:t>
            </w:r>
          </w:p>
        </w:tc>
        <w:tc>
          <w:tcPr>
            <w:tcW w:w="1191" w:type="dxa"/>
            <w:tcBorders>
              <w:top w:val="single" w:sz="8" w:space="0" w:color="auto"/>
              <w:bottom w:val="single" w:sz="8" w:space="0" w:color="auto"/>
            </w:tcBorders>
            <w:shd w:val="clear" w:color="auto" w:fill="auto"/>
            <w:vAlign w:val="center"/>
          </w:tcPr>
          <w:p w14:paraId="58F27347" w14:textId="77777777" w:rsidR="003E18A8" w:rsidRPr="001957BF" w:rsidRDefault="003E18A8" w:rsidP="00961A7C">
            <w:pPr>
              <w:tabs>
                <w:tab w:val="left" w:pos="227"/>
                <w:tab w:val="left" w:pos="284"/>
                <w:tab w:val="left" w:pos="397"/>
                <w:tab w:val="left" w:pos="567"/>
              </w:tabs>
              <w:spacing w:before="40" w:after="40"/>
              <w:jc w:val="center"/>
              <w:rPr>
                <w:b/>
              </w:rPr>
            </w:pPr>
            <w:r w:rsidRPr="001957BF">
              <w:t>4</w:t>
            </w:r>
            <w:r w:rsidR="002649FA" w:rsidRPr="001957BF">
              <w:t>,</w:t>
            </w:r>
            <w:r w:rsidRPr="001957BF">
              <w:t>8%</w:t>
            </w:r>
          </w:p>
        </w:tc>
        <w:tc>
          <w:tcPr>
            <w:tcW w:w="1190" w:type="dxa"/>
            <w:tcBorders>
              <w:top w:val="single" w:sz="8" w:space="0" w:color="auto"/>
              <w:bottom w:val="single" w:sz="8" w:space="0" w:color="auto"/>
            </w:tcBorders>
            <w:shd w:val="clear" w:color="auto" w:fill="auto"/>
            <w:vAlign w:val="center"/>
          </w:tcPr>
          <w:p w14:paraId="683D5471" w14:textId="77777777" w:rsidR="003E18A8" w:rsidRPr="001957BF" w:rsidRDefault="003E18A8" w:rsidP="00961A7C">
            <w:pPr>
              <w:tabs>
                <w:tab w:val="left" w:pos="227"/>
                <w:tab w:val="left" w:pos="284"/>
                <w:tab w:val="left" w:pos="397"/>
                <w:tab w:val="left" w:pos="567"/>
              </w:tabs>
              <w:spacing w:before="40" w:after="40"/>
              <w:jc w:val="center"/>
              <w:rPr>
                <w:b/>
              </w:rPr>
            </w:pPr>
            <w:r w:rsidRPr="001957BF">
              <w:t>4</w:t>
            </w:r>
            <w:r w:rsidR="002649FA" w:rsidRPr="001957BF">
              <w:t>,</w:t>
            </w:r>
            <w:r w:rsidRPr="001957BF">
              <w:t>2%</w:t>
            </w:r>
          </w:p>
        </w:tc>
        <w:tc>
          <w:tcPr>
            <w:tcW w:w="1191" w:type="dxa"/>
            <w:tcBorders>
              <w:top w:val="single" w:sz="8" w:space="0" w:color="auto"/>
              <w:bottom w:val="single" w:sz="8" w:space="0" w:color="auto"/>
            </w:tcBorders>
            <w:shd w:val="clear" w:color="auto" w:fill="auto"/>
            <w:vAlign w:val="center"/>
          </w:tcPr>
          <w:p w14:paraId="13DD513D" w14:textId="77777777" w:rsidR="003E18A8" w:rsidRPr="001957BF" w:rsidRDefault="003E18A8" w:rsidP="00961A7C">
            <w:pPr>
              <w:tabs>
                <w:tab w:val="left" w:pos="227"/>
                <w:tab w:val="left" w:pos="284"/>
                <w:tab w:val="left" w:pos="397"/>
                <w:tab w:val="left" w:pos="567"/>
              </w:tabs>
              <w:spacing w:before="40" w:after="40"/>
              <w:jc w:val="center"/>
              <w:rPr>
                <w:b/>
              </w:rPr>
            </w:pPr>
            <w:r w:rsidRPr="001957BF">
              <w:t>10</w:t>
            </w:r>
            <w:r w:rsidR="002649FA" w:rsidRPr="001957BF">
              <w:t>,</w:t>
            </w:r>
            <w:r w:rsidRPr="001957BF">
              <w:t>0%</w:t>
            </w:r>
          </w:p>
        </w:tc>
        <w:tc>
          <w:tcPr>
            <w:tcW w:w="1191" w:type="dxa"/>
            <w:tcBorders>
              <w:top w:val="single" w:sz="8" w:space="0" w:color="auto"/>
              <w:bottom w:val="single" w:sz="8" w:space="0" w:color="auto"/>
            </w:tcBorders>
            <w:shd w:val="clear" w:color="auto" w:fill="auto"/>
            <w:vAlign w:val="center"/>
          </w:tcPr>
          <w:p w14:paraId="2C825100" w14:textId="77777777" w:rsidR="003E18A8" w:rsidRPr="001957BF" w:rsidRDefault="003E18A8" w:rsidP="00961A7C">
            <w:pPr>
              <w:tabs>
                <w:tab w:val="left" w:pos="227"/>
                <w:tab w:val="left" w:pos="284"/>
                <w:tab w:val="left" w:pos="397"/>
                <w:tab w:val="left" w:pos="567"/>
              </w:tabs>
              <w:spacing w:before="40" w:after="40"/>
              <w:jc w:val="center"/>
              <w:rPr>
                <w:b/>
              </w:rPr>
            </w:pPr>
            <w:r w:rsidRPr="001957BF">
              <w:t>5</w:t>
            </w:r>
            <w:r w:rsidR="002649FA" w:rsidRPr="001957BF">
              <w:t>,</w:t>
            </w:r>
            <w:r w:rsidRPr="001957BF">
              <w:t>1%</w:t>
            </w:r>
          </w:p>
        </w:tc>
      </w:tr>
      <w:tr w:rsidR="00E64332" w:rsidRPr="00E96466" w14:paraId="2A104AD2" w14:textId="77777777" w:rsidTr="00E64332">
        <w:tc>
          <w:tcPr>
            <w:tcW w:w="3261" w:type="dxa"/>
            <w:tcBorders>
              <w:top w:val="single" w:sz="8" w:space="0" w:color="auto"/>
              <w:bottom w:val="single" w:sz="8" w:space="0" w:color="auto"/>
            </w:tcBorders>
            <w:shd w:val="clear" w:color="auto" w:fill="BFBFBF" w:themeFill="background1" w:themeFillShade="BF"/>
            <w:vAlign w:val="center"/>
          </w:tcPr>
          <w:p w14:paraId="6CC807D0" w14:textId="77777777" w:rsidR="003E18A8" w:rsidRPr="001957BF" w:rsidRDefault="003B4358" w:rsidP="001E24AB">
            <w:pPr>
              <w:tabs>
                <w:tab w:val="left" w:pos="227"/>
                <w:tab w:val="left" w:pos="284"/>
                <w:tab w:val="left" w:pos="397"/>
                <w:tab w:val="left" w:pos="567"/>
              </w:tabs>
              <w:spacing w:before="40" w:after="40"/>
              <w:rPr>
                <w:b/>
                <w:sz w:val="18"/>
                <w:szCs w:val="18"/>
              </w:rPr>
            </w:pPr>
            <w:r w:rsidRPr="001957BF">
              <w:rPr>
                <w:b/>
                <w:sz w:val="18"/>
                <w:szCs w:val="18"/>
              </w:rPr>
              <w:t xml:space="preserve">Obstáculos </w:t>
            </w:r>
            <w:r w:rsidR="003E18A8" w:rsidRPr="001957BF">
              <w:rPr>
                <w:b/>
                <w:sz w:val="18"/>
                <w:szCs w:val="18"/>
              </w:rPr>
              <w:t>Organizaciona</w:t>
            </w:r>
            <w:r w:rsidRPr="001957BF">
              <w:rPr>
                <w:b/>
                <w:sz w:val="18"/>
                <w:szCs w:val="18"/>
              </w:rPr>
              <w:t>is</w:t>
            </w:r>
          </w:p>
        </w:tc>
        <w:tc>
          <w:tcPr>
            <w:tcW w:w="1190" w:type="dxa"/>
            <w:tcBorders>
              <w:top w:val="single" w:sz="8" w:space="0" w:color="auto"/>
              <w:bottom w:val="single" w:sz="8" w:space="0" w:color="auto"/>
            </w:tcBorders>
            <w:shd w:val="clear" w:color="auto" w:fill="BFBFBF" w:themeFill="background1" w:themeFillShade="BF"/>
            <w:vAlign w:val="center"/>
          </w:tcPr>
          <w:p w14:paraId="50E09C3D"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5</w:t>
            </w:r>
            <w:r w:rsidR="002649FA" w:rsidRPr="001957BF">
              <w:rPr>
                <w:b/>
              </w:rPr>
              <w:t>,</w:t>
            </w:r>
            <w:r w:rsidRPr="001957BF">
              <w:rPr>
                <w:b/>
              </w:rPr>
              <w:t>7%</w:t>
            </w:r>
          </w:p>
        </w:tc>
        <w:tc>
          <w:tcPr>
            <w:tcW w:w="1191" w:type="dxa"/>
            <w:tcBorders>
              <w:top w:val="single" w:sz="8" w:space="0" w:color="auto"/>
              <w:bottom w:val="single" w:sz="8" w:space="0" w:color="auto"/>
            </w:tcBorders>
            <w:shd w:val="clear" w:color="auto" w:fill="BFBFBF" w:themeFill="background1" w:themeFillShade="BF"/>
            <w:vAlign w:val="center"/>
          </w:tcPr>
          <w:p w14:paraId="53D6BCBB"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7</w:t>
            </w:r>
            <w:r w:rsidR="002649FA" w:rsidRPr="001957BF">
              <w:rPr>
                <w:b/>
              </w:rPr>
              <w:t>,</w:t>
            </w:r>
            <w:r w:rsidRPr="001957BF">
              <w:rPr>
                <w:b/>
              </w:rPr>
              <w:t>5%</w:t>
            </w:r>
          </w:p>
        </w:tc>
        <w:tc>
          <w:tcPr>
            <w:tcW w:w="1190" w:type="dxa"/>
            <w:tcBorders>
              <w:top w:val="single" w:sz="8" w:space="0" w:color="auto"/>
              <w:bottom w:val="single" w:sz="8" w:space="0" w:color="auto"/>
            </w:tcBorders>
            <w:shd w:val="clear" w:color="auto" w:fill="BFBFBF" w:themeFill="background1" w:themeFillShade="BF"/>
            <w:vAlign w:val="center"/>
          </w:tcPr>
          <w:p w14:paraId="70133356"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5</w:t>
            </w:r>
            <w:r w:rsidR="002649FA" w:rsidRPr="001957BF">
              <w:rPr>
                <w:b/>
              </w:rPr>
              <w:t>,</w:t>
            </w:r>
            <w:r w:rsidRPr="001957BF">
              <w:rPr>
                <w:b/>
              </w:rPr>
              <w:t>8%</w:t>
            </w:r>
          </w:p>
        </w:tc>
        <w:tc>
          <w:tcPr>
            <w:tcW w:w="1191" w:type="dxa"/>
            <w:tcBorders>
              <w:top w:val="single" w:sz="8" w:space="0" w:color="auto"/>
              <w:bottom w:val="single" w:sz="8" w:space="0" w:color="auto"/>
            </w:tcBorders>
            <w:shd w:val="clear" w:color="auto" w:fill="BFBFBF" w:themeFill="background1" w:themeFillShade="BF"/>
            <w:vAlign w:val="center"/>
          </w:tcPr>
          <w:p w14:paraId="2BA56F8B"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12</w:t>
            </w:r>
            <w:r w:rsidR="002649FA" w:rsidRPr="001957BF">
              <w:rPr>
                <w:b/>
              </w:rPr>
              <w:t>,</w:t>
            </w:r>
            <w:r w:rsidRPr="001957BF">
              <w:rPr>
                <w:b/>
              </w:rPr>
              <w:t>8%</w:t>
            </w:r>
          </w:p>
        </w:tc>
        <w:tc>
          <w:tcPr>
            <w:tcW w:w="1191" w:type="dxa"/>
            <w:tcBorders>
              <w:top w:val="single" w:sz="8" w:space="0" w:color="auto"/>
              <w:bottom w:val="single" w:sz="8" w:space="0" w:color="auto"/>
            </w:tcBorders>
            <w:shd w:val="clear" w:color="auto" w:fill="BFBFBF" w:themeFill="background1" w:themeFillShade="BF"/>
            <w:vAlign w:val="center"/>
          </w:tcPr>
          <w:p w14:paraId="04B4E05F"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6</w:t>
            </w:r>
            <w:r w:rsidR="002649FA" w:rsidRPr="001957BF">
              <w:rPr>
                <w:b/>
              </w:rPr>
              <w:t>,</w:t>
            </w:r>
            <w:r w:rsidRPr="001957BF">
              <w:rPr>
                <w:b/>
              </w:rPr>
              <w:t>9%</w:t>
            </w:r>
          </w:p>
        </w:tc>
      </w:tr>
      <w:tr w:rsidR="003B4358" w:rsidRPr="00E96466" w14:paraId="1E3F1457" w14:textId="77777777" w:rsidTr="00E64332">
        <w:tc>
          <w:tcPr>
            <w:tcW w:w="3261" w:type="dxa"/>
            <w:tcBorders>
              <w:top w:val="single" w:sz="8" w:space="0" w:color="auto"/>
            </w:tcBorders>
            <w:shd w:val="clear" w:color="auto" w:fill="auto"/>
            <w:vAlign w:val="center"/>
          </w:tcPr>
          <w:p w14:paraId="4E131781" w14:textId="77777777" w:rsidR="003E18A8" w:rsidRPr="001957BF" w:rsidRDefault="003E18A8" w:rsidP="001E24AB">
            <w:pPr>
              <w:tabs>
                <w:tab w:val="left" w:pos="227"/>
                <w:tab w:val="left" w:pos="284"/>
                <w:tab w:val="left" w:pos="397"/>
                <w:tab w:val="left" w:pos="567"/>
              </w:tabs>
              <w:spacing w:before="40" w:after="40"/>
              <w:rPr>
                <w:b/>
                <w:sz w:val="18"/>
                <w:szCs w:val="18"/>
              </w:rPr>
            </w:pPr>
            <w:r w:rsidRPr="001957BF">
              <w:rPr>
                <w:sz w:val="18"/>
                <w:szCs w:val="18"/>
              </w:rPr>
              <w:t>Rigidez organizacional</w:t>
            </w:r>
          </w:p>
        </w:tc>
        <w:tc>
          <w:tcPr>
            <w:tcW w:w="1190" w:type="dxa"/>
            <w:tcBorders>
              <w:top w:val="single" w:sz="8" w:space="0" w:color="auto"/>
            </w:tcBorders>
            <w:shd w:val="clear" w:color="auto" w:fill="auto"/>
            <w:vAlign w:val="center"/>
          </w:tcPr>
          <w:p w14:paraId="4D799910" w14:textId="77777777" w:rsidR="003E18A8" w:rsidRPr="001957BF" w:rsidRDefault="003E18A8" w:rsidP="00961A7C">
            <w:pPr>
              <w:tabs>
                <w:tab w:val="left" w:pos="227"/>
                <w:tab w:val="left" w:pos="284"/>
                <w:tab w:val="left" w:pos="397"/>
                <w:tab w:val="left" w:pos="567"/>
              </w:tabs>
              <w:spacing w:before="40" w:after="40"/>
              <w:jc w:val="center"/>
              <w:rPr>
                <w:b/>
              </w:rPr>
            </w:pPr>
            <w:r w:rsidRPr="001957BF">
              <w:t>4</w:t>
            </w:r>
            <w:r w:rsidR="002649FA" w:rsidRPr="001957BF">
              <w:t>,</w:t>
            </w:r>
            <w:r w:rsidRPr="001957BF">
              <w:t>8%</w:t>
            </w:r>
          </w:p>
        </w:tc>
        <w:tc>
          <w:tcPr>
            <w:tcW w:w="1191" w:type="dxa"/>
            <w:tcBorders>
              <w:top w:val="single" w:sz="8" w:space="0" w:color="auto"/>
            </w:tcBorders>
            <w:shd w:val="clear" w:color="auto" w:fill="auto"/>
            <w:vAlign w:val="center"/>
          </w:tcPr>
          <w:p w14:paraId="4CF1D58D" w14:textId="77777777" w:rsidR="003E18A8" w:rsidRPr="001957BF" w:rsidRDefault="003E18A8" w:rsidP="00961A7C">
            <w:pPr>
              <w:tabs>
                <w:tab w:val="left" w:pos="227"/>
                <w:tab w:val="left" w:pos="284"/>
                <w:tab w:val="left" w:pos="397"/>
                <w:tab w:val="left" w:pos="567"/>
              </w:tabs>
              <w:spacing w:before="40" w:after="40"/>
              <w:jc w:val="center"/>
              <w:rPr>
                <w:b/>
              </w:rPr>
            </w:pPr>
            <w:r w:rsidRPr="001957BF">
              <w:t>6</w:t>
            </w:r>
            <w:r w:rsidR="002649FA" w:rsidRPr="001957BF">
              <w:t>,</w:t>
            </w:r>
            <w:r w:rsidRPr="001957BF">
              <w:t>8%</w:t>
            </w:r>
          </w:p>
        </w:tc>
        <w:tc>
          <w:tcPr>
            <w:tcW w:w="1190" w:type="dxa"/>
            <w:tcBorders>
              <w:top w:val="single" w:sz="8" w:space="0" w:color="auto"/>
            </w:tcBorders>
            <w:shd w:val="clear" w:color="auto" w:fill="auto"/>
            <w:vAlign w:val="center"/>
          </w:tcPr>
          <w:p w14:paraId="749A5AC9" w14:textId="77777777" w:rsidR="003E18A8" w:rsidRPr="001957BF" w:rsidRDefault="003E18A8" w:rsidP="00961A7C">
            <w:pPr>
              <w:tabs>
                <w:tab w:val="left" w:pos="227"/>
                <w:tab w:val="left" w:pos="284"/>
                <w:tab w:val="left" w:pos="397"/>
                <w:tab w:val="left" w:pos="567"/>
              </w:tabs>
              <w:spacing w:before="40" w:after="40"/>
              <w:jc w:val="center"/>
              <w:rPr>
                <w:b/>
              </w:rPr>
            </w:pPr>
            <w:r w:rsidRPr="001957BF">
              <w:t>4</w:t>
            </w:r>
            <w:r w:rsidR="002649FA" w:rsidRPr="001957BF">
              <w:t>,</w:t>
            </w:r>
            <w:r w:rsidRPr="001957BF">
              <w:t>9%</w:t>
            </w:r>
          </w:p>
        </w:tc>
        <w:tc>
          <w:tcPr>
            <w:tcW w:w="1191" w:type="dxa"/>
            <w:tcBorders>
              <w:top w:val="single" w:sz="8" w:space="0" w:color="auto"/>
            </w:tcBorders>
            <w:shd w:val="clear" w:color="auto" w:fill="auto"/>
            <w:vAlign w:val="center"/>
          </w:tcPr>
          <w:p w14:paraId="6099C5AE" w14:textId="77777777" w:rsidR="003E18A8" w:rsidRPr="001957BF" w:rsidRDefault="003E18A8" w:rsidP="00961A7C">
            <w:pPr>
              <w:tabs>
                <w:tab w:val="left" w:pos="227"/>
                <w:tab w:val="left" w:pos="284"/>
                <w:tab w:val="left" w:pos="397"/>
                <w:tab w:val="left" w:pos="567"/>
              </w:tabs>
              <w:spacing w:before="40" w:after="40"/>
              <w:jc w:val="center"/>
              <w:rPr>
                <w:b/>
              </w:rPr>
            </w:pPr>
            <w:r w:rsidRPr="001957BF">
              <w:t>10</w:t>
            </w:r>
            <w:r w:rsidR="002649FA" w:rsidRPr="001957BF">
              <w:t>,</w:t>
            </w:r>
            <w:r w:rsidRPr="001957BF">
              <w:t>0%</w:t>
            </w:r>
          </w:p>
        </w:tc>
        <w:tc>
          <w:tcPr>
            <w:tcW w:w="1191" w:type="dxa"/>
            <w:tcBorders>
              <w:top w:val="single" w:sz="8" w:space="0" w:color="auto"/>
            </w:tcBorders>
            <w:shd w:val="clear" w:color="auto" w:fill="auto"/>
            <w:vAlign w:val="center"/>
          </w:tcPr>
          <w:p w14:paraId="06419D60" w14:textId="77777777" w:rsidR="003E18A8" w:rsidRPr="001957BF" w:rsidRDefault="003E18A8" w:rsidP="00961A7C">
            <w:pPr>
              <w:tabs>
                <w:tab w:val="left" w:pos="227"/>
                <w:tab w:val="left" w:pos="284"/>
                <w:tab w:val="left" w:pos="397"/>
                <w:tab w:val="left" w:pos="567"/>
              </w:tabs>
              <w:spacing w:before="40" w:after="40"/>
              <w:jc w:val="center"/>
              <w:rPr>
                <w:b/>
              </w:rPr>
            </w:pPr>
            <w:r w:rsidRPr="001957BF">
              <w:t>5</w:t>
            </w:r>
            <w:r w:rsidR="002649FA" w:rsidRPr="001957BF">
              <w:t>,</w:t>
            </w:r>
            <w:r w:rsidRPr="001957BF">
              <w:t>8%</w:t>
            </w:r>
          </w:p>
        </w:tc>
      </w:tr>
      <w:tr w:rsidR="003B4358" w:rsidRPr="00E96466" w14:paraId="187CE544" w14:textId="77777777" w:rsidTr="00E64332">
        <w:tc>
          <w:tcPr>
            <w:tcW w:w="3261" w:type="dxa"/>
            <w:tcBorders>
              <w:bottom w:val="single" w:sz="8" w:space="0" w:color="auto"/>
            </w:tcBorders>
            <w:shd w:val="clear" w:color="auto" w:fill="auto"/>
            <w:vAlign w:val="center"/>
          </w:tcPr>
          <w:p w14:paraId="74FC0460" w14:textId="77777777" w:rsidR="003E18A8" w:rsidRPr="001957BF" w:rsidRDefault="003E18A8" w:rsidP="001E24AB">
            <w:pPr>
              <w:tabs>
                <w:tab w:val="left" w:pos="227"/>
                <w:tab w:val="left" w:pos="284"/>
                <w:tab w:val="left" w:pos="397"/>
                <w:tab w:val="left" w:pos="567"/>
              </w:tabs>
              <w:spacing w:before="40" w:after="40"/>
              <w:rPr>
                <w:b/>
                <w:sz w:val="18"/>
                <w:szCs w:val="18"/>
              </w:rPr>
            </w:pPr>
            <w:r w:rsidRPr="001957BF">
              <w:rPr>
                <w:sz w:val="18"/>
                <w:szCs w:val="18"/>
              </w:rPr>
              <w:t>Centralização da inovação em outra empresa do grupo</w:t>
            </w:r>
          </w:p>
        </w:tc>
        <w:tc>
          <w:tcPr>
            <w:tcW w:w="1190" w:type="dxa"/>
            <w:tcBorders>
              <w:bottom w:val="single" w:sz="8" w:space="0" w:color="auto"/>
            </w:tcBorders>
            <w:shd w:val="clear" w:color="auto" w:fill="auto"/>
            <w:vAlign w:val="center"/>
          </w:tcPr>
          <w:p w14:paraId="0340CE9D" w14:textId="77777777" w:rsidR="003E18A8" w:rsidRPr="001957BF" w:rsidRDefault="003E18A8" w:rsidP="00961A7C">
            <w:pPr>
              <w:tabs>
                <w:tab w:val="left" w:pos="227"/>
                <w:tab w:val="left" w:pos="284"/>
                <w:tab w:val="left" w:pos="397"/>
                <w:tab w:val="left" w:pos="567"/>
              </w:tabs>
              <w:spacing w:before="40" w:after="40"/>
              <w:jc w:val="center"/>
              <w:rPr>
                <w:b/>
              </w:rPr>
            </w:pPr>
            <w:r w:rsidRPr="001957BF">
              <w:t>1</w:t>
            </w:r>
            <w:r w:rsidR="002649FA" w:rsidRPr="001957BF">
              <w:t>,</w:t>
            </w:r>
            <w:r w:rsidRPr="001957BF">
              <w:t>1%</w:t>
            </w:r>
          </w:p>
        </w:tc>
        <w:tc>
          <w:tcPr>
            <w:tcW w:w="1191" w:type="dxa"/>
            <w:tcBorders>
              <w:bottom w:val="single" w:sz="8" w:space="0" w:color="auto"/>
            </w:tcBorders>
            <w:shd w:val="clear" w:color="auto" w:fill="auto"/>
            <w:vAlign w:val="center"/>
          </w:tcPr>
          <w:p w14:paraId="68431AB3" w14:textId="77777777" w:rsidR="003E18A8" w:rsidRPr="001957BF" w:rsidRDefault="003E18A8" w:rsidP="00961A7C">
            <w:pPr>
              <w:tabs>
                <w:tab w:val="left" w:pos="227"/>
                <w:tab w:val="left" w:pos="284"/>
                <w:tab w:val="left" w:pos="397"/>
                <w:tab w:val="left" w:pos="567"/>
              </w:tabs>
              <w:spacing w:before="40" w:after="40"/>
              <w:jc w:val="center"/>
              <w:rPr>
                <w:b/>
              </w:rPr>
            </w:pPr>
            <w:r w:rsidRPr="001957BF">
              <w:t>1</w:t>
            </w:r>
            <w:r w:rsidR="002649FA" w:rsidRPr="001957BF">
              <w:t>,</w:t>
            </w:r>
            <w:r w:rsidRPr="001957BF">
              <w:t>2%</w:t>
            </w:r>
          </w:p>
        </w:tc>
        <w:tc>
          <w:tcPr>
            <w:tcW w:w="1190" w:type="dxa"/>
            <w:tcBorders>
              <w:bottom w:val="single" w:sz="8" w:space="0" w:color="auto"/>
            </w:tcBorders>
            <w:shd w:val="clear" w:color="auto" w:fill="auto"/>
            <w:vAlign w:val="center"/>
          </w:tcPr>
          <w:p w14:paraId="716431AC" w14:textId="77777777" w:rsidR="003E18A8" w:rsidRPr="001957BF" w:rsidRDefault="003E18A8" w:rsidP="00961A7C">
            <w:pPr>
              <w:tabs>
                <w:tab w:val="left" w:pos="227"/>
                <w:tab w:val="left" w:pos="284"/>
                <w:tab w:val="left" w:pos="397"/>
                <w:tab w:val="left" w:pos="567"/>
              </w:tabs>
              <w:spacing w:before="40" w:after="40"/>
              <w:jc w:val="center"/>
              <w:rPr>
                <w:b/>
              </w:rPr>
            </w:pPr>
            <w:r w:rsidRPr="001957BF">
              <w:t>1</w:t>
            </w:r>
            <w:r w:rsidR="002649FA" w:rsidRPr="001957BF">
              <w:t>,</w:t>
            </w:r>
            <w:r w:rsidRPr="001957BF">
              <w:t>1%</w:t>
            </w:r>
          </w:p>
        </w:tc>
        <w:tc>
          <w:tcPr>
            <w:tcW w:w="1191" w:type="dxa"/>
            <w:tcBorders>
              <w:bottom w:val="single" w:sz="8" w:space="0" w:color="auto"/>
            </w:tcBorders>
            <w:shd w:val="clear" w:color="auto" w:fill="auto"/>
            <w:vAlign w:val="center"/>
          </w:tcPr>
          <w:p w14:paraId="2BD292DD" w14:textId="77777777" w:rsidR="003E18A8" w:rsidRPr="001957BF" w:rsidRDefault="003E18A8" w:rsidP="00961A7C">
            <w:pPr>
              <w:tabs>
                <w:tab w:val="left" w:pos="227"/>
                <w:tab w:val="left" w:pos="284"/>
                <w:tab w:val="left" w:pos="397"/>
                <w:tab w:val="left" w:pos="567"/>
              </w:tabs>
              <w:spacing w:before="40" w:after="40"/>
              <w:jc w:val="center"/>
              <w:rPr>
                <w:b/>
              </w:rPr>
            </w:pPr>
            <w:r w:rsidRPr="001957BF">
              <w:t>3</w:t>
            </w:r>
            <w:r w:rsidR="002649FA" w:rsidRPr="001957BF">
              <w:t>,</w:t>
            </w:r>
            <w:r w:rsidRPr="001957BF">
              <w:t>4%</w:t>
            </w:r>
          </w:p>
        </w:tc>
        <w:tc>
          <w:tcPr>
            <w:tcW w:w="1191" w:type="dxa"/>
            <w:tcBorders>
              <w:bottom w:val="single" w:sz="8" w:space="0" w:color="auto"/>
            </w:tcBorders>
            <w:shd w:val="clear" w:color="auto" w:fill="auto"/>
            <w:vAlign w:val="center"/>
          </w:tcPr>
          <w:p w14:paraId="4858FA08" w14:textId="77777777" w:rsidR="003E18A8" w:rsidRPr="001957BF" w:rsidRDefault="003E18A8" w:rsidP="00961A7C">
            <w:pPr>
              <w:tabs>
                <w:tab w:val="left" w:pos="227"/>
                <w:tab w:val="left" w:pos="284"/>
                <w:tab w:val="left" w:pos="397"/>
                <w:tab w:val="left" w:pos="567"/>
              </w:tabs>
              <w:spacing w:before="40" w:after="40"/>
              <w:jc w:val="center"/>
              <w:rPr>
                <w:b/>
              </w:rPr>
            </w:pPr>
            <w:r w:rsidRPr="001957BF">
              <w:t>1</w:t>
            </w:r>
            <w:r w:rsidR="002649FA" w:rsidRPr="001957BF">
              <w:t>,</w:t>
            </w:r>
            <w:r w:rsidRPr="001957BF">
              <w:t>5%</w:t>
            </w:r>
          </w:p>
        </w:tc>
      </w:tr>
      <w:tr w:rsidR="00E64332" w:rsidRPr="00E96466" w14:paraId="5DBF2862" w14:textId="77777777" w:rsidTr="00E64332">
        <w:tc>
          <w:tcPr>
            <w:tcW w:w="3261" w:type="dxa"/>
            <w:tcBorders>
              <w:top w:val="single" w:sz="8" w:space="0" w:color="auto"/>
              <w:bottom w:val="single" w:sz="8" w:space="0" w:color="auto"/>
            </w:tcBorders>
            <w:shd w:val="clear" w:color="auto" w:fill="BFBFBF" w:themeFill="background1" w:themeFillShade="BF"/>
            <w:vAlign w:val="center"/>
          </w:tcPr>
          <w:p w14:paraId="0A742BD0" w14:textId="77777777" w:rsidR="003E18A8" w:rsidRPr="001957BF" w:rsidRDefault="003B4358" w:rsidP="001E24AB">
            <w:pPr>
              <w:tabs>
                <w:tab w:val="left" w:pos="227"/>
                <w:tab w:val="left" w:pos="284"/>
                <w:tab w:val="left" w:pos="397"/>
                <w:tab w:val="left" w:pos="567"/>
              </w:tabs>
              <w:spacing w:before="40" w:after="40"/>
              <w:rPr>
                <w:b/>
                <w:sz w:val="18"/>
                <w:szCs w:val="18"/>
              </w:rPr>
            </w:pPr>
            <w:r w:rsidRPr="001957BF">
              <w:rPr>
                <w:b/>
                <w:sz w:val="18"/>
                <w:szCs w:val="18"/>
              </w:rPr>
              <w:t xml:space="preserve">Obstáculos </w:t>
            </w:r>
            <w:r w:rsidR="003E18A8" w:rsidRPr="001957BF">
              <w:rPr>
                <w:b/>
                <w:sz w:val="18"/>
                <w:szCs w:val="18"/>
              </w:rPr>
              <w:t>Regulatór</w:t>
            </w:r>
            <w:r w:rsidRPr="001957BF">
              <w:rPr>
                <w:b/>
                <w:sz w:val="18"/>
                <w:szCs w:val="18"/>
              </w:rPr>
              <w:t>ios</w:t>
            </w:r>
          </w:p>
        </w:tc>
        <w:tc>
          <w:tcPr>
            <w:tcW w:w="1190" w:type="dxa"/>
            <w:tcBorders>
              <w:top w:val="single" w:sz="8" w:space="0" w:color="auto"/>
              <w:bottom w:val="single" w:sz="8" w:space="0" w:color="auto"/>
            </w:tcBorders>
            <w:shd w:val="clear" w:color="auto" w:fill="BFBFBF" w:themeFill="background1" w:themeFillShade="BF"/>
            <w:vAlign w:val="center"/>
          </w:tcPr>
          <w:p w14:paraId="25C17054"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6</w:t>
            </w:r>
            <w:r w:rsidR="002649FA" w:rsidRPr="001957BF">
              <w:rPr>
                <w:b/>
              </w:rPr>
              <w:t>,</w:t>
            </w:r>
            <w:r w:rsidRPr="001957BF">
              <w:rPr>
                <w:b/>
              </w:rPr>
              <w:t>5%</w:t>
            </w:r>
          </w:p>
        </w:tc>
        <w:tc>
          <w:tcPr>
            <w:tcW w:w="1191" w:type="dxa"/>
            <w:tcBorders>
              <w:top w:val="single" w:sz="8" w:space="0" w:color="auto"/>
              <w:bottom w:val="single" w:sz="8" w:space="0" w:color="auto"/>
            </w:tcBorders>
            <w:shd w:val="clear" w:color="auto" w:fill="BFBFBF" w:themeFill="background1" w:themeFillShade="BF"/>
            <w:vAlign w:val="center"/>
          </w:tcPr>
          <w:p w14:paraId="08FF0EFA"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8</w:t>
            </w:r>
            <w:r w:rsidR="002649FA" w:rsidRPr="001957BF">
              <w:rPr>
                <w:b/>
              </w:rPr>
              <w:t>,</w:t>
            </w:r>
            <w:r w:rsidRPr="001957BF">
              <w:rPr>
                <w:b/>
              </w:rPr>
              <w:t>7%</w:t>
            </w:r>
          </w:p>
        </w:tc>
        <w:tc>
          <w:tcPr>
            <w:tcW w:w="1190" w:type="dxa"/>
            <w:tcBorders>
              <w:top w:val="single" w:sz="8" w:space="0" w:color="auto"/>
              <w:bottom w:val="single" w:sz="8" w:space="0" w:color="auto"/>
            </w:tcBorders>
            <w:shd w:val="clear" w:color="auto" w:fill="BFBFBF" w:themeFill="background1" w:themeFillShade="BF"/>
            <w:vAlign w:val="center"/>
          </w:tcPr>
          <w:p w14:paraId="3BEE32BC"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6</w:t>
            </w:r>
            <w:r w:rsidR="002649FA" w:rsidRPr="001957BF">
              <w:rPr>
                <w:b/>
              </w:rPr>
              <w:t>,</w:t>
            </w:r>
            <w:r w:rsidRPr="001957BF">
              <w:rPr>
                <w:b/>
              </w:rPr>
              <w:t>6%</w:t>
            </w:r>
          </w:p>
        </w:tc>
        <w:tc>
          <w:tcPr>
            <w:tcW w:w="1191" w:type="dxa"/>
            <w:tcBorders>
              <w:top w:val="single" w:sz="8" w:space="0" w:color="auto"/>
              <w:bottom w:val="single" w:sz="8" w:space="0" w:color="auto"/>
            </w:tcBorders>
            <w:shd w:val="clear" w:color="auto" w:fill="BFBFBF" w:themeFill="background1" w:themeFillShade="BF"/>
            <w:vAlign w:val="center"/>
          </w:tcPr>
          <w:p w14:paraId="3C1D2CB1"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12</w:t>
            </w:r>
            <w:r w:rsidR="002649FA" w:rsidRPr="001957BF">
              <w:rPr>
                <w:b/>
              </w:rPr>
              <w:t>,</w:t>
            </w:r>
            <w:r w:rsidRPr="001957BF">
              <w:rPr>
                <w:b/>
              </w:rPr>
              <w:t>7%</w:t>
            </w:r>
          </w:p>
        </w:tc>
        <w:tc>
          <w:tcPr>
            <w:tcW w:w="1191" w:type="dxa"/>
            <w:tcBorders>
              <w:top w:val="single" w:sz="8" w:space="0" w:color="auto"/>
              <w:bottom w:val="single" w:sz="8" w:space="0" w:color="auto"/>
            </w:tcBorders>
            <w:shd w:val="clear" w:color="auto" w:fill="BFBFBF" w:themeFill="background1" w:themeFillShade="BF"/>
            <w:vAlign w:val="center"/>
          </w:tcPr>
          <w:p w14:paraId="46484656"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7</w:t>
            </w:r>
            <w:r w:rsidR="002649FA" w:rsidRPr="001957BF">
              <w:rPr>
                <w:b/>
              </w:rPr>
              <w:t>,</w:t>
            </w:r>
            <w:r w:rsidRPr="001957BF">
              <w:rPr>
                <w:b/>
              </w:rPr>
              <w:t>6%</w:t>
            </w:r>
          </w:p>
        </w:tc>
      </w:tr>
      <w:tr w:rsidR="003B4358" w:rsidRPr="00E96466" w14:paraId="6235DFF8" w14:textId="77777777" w:rsidTr="00E64332">
        <w:tc>
          <w:tcPr>
            <w:tcW w:w="3261" w:type="dxa"/>
            <w:tcBorders>
              <w:top w:val="single" w:sz="8" w:space="0" w:color="auto"/>
              <w:bottom w:val="single" w:sz="8" w:space="0" w:color="auto"/>
            </w:tcBorders>
            <w:shd w:val="clear" w:color="auto" w:fill="auto"/>
            <w:vAlign w:val="center"/>
          </w:tcPr>
          <w:p w14:paraId="097D1AF6" w14:textId="77777777" w:rsidR="003E18A8" w:rsidRPr="001957BF" w:rsidRDefault="003E18A8" w:rsidP="001E24AB">
            <w:pPr>
              <w:tabs>
                <w:tab w:val="left" w:pos="227"/>
                <w:tab w:val="left" w:pos="284"/>
                <w:tab w:val="left" w:pos="397"/>
                <w:tab w:val="left" w:pos="567"/>
              </w:tabs>
              <w:spacing w:before="40" w:after="40"/>
              <w:rPr>
                <w:b/>
                <w:sz w:val="18"/>
                <w:szCs w:val="18"/>
              </w:rPr>
            </w:pPr>
            <w:r w:rsidRPr="001957BF">
              <w:rPr>
                <w:sz w:val="18"/>
                <w:szCs w:val="18"/>
              </w:rPr>
              <w:t>Dificuldade para se adequar às regulamentações</w:t>
            </w:r>
          </w:p>
        </w:tc>
        <w:tc>
          <w:tcPr>
            <w:tcW w:w="1190" w:type="dxa"/>
            <w:tcBorders>
              <w:top w:val="single" w:sz="8" w:space="0" w:color="auto"/>
              <w:bottom w:val="single" w:sz="8" w:space="0" w:color="auto"/>
            </w:tcBorders>
            <w:shd w:val="clear" w:color="auto" w:fill="auto"/>
            <w:vAlign w:val="center"/>
          </w:tcPr>
          <w:p w14:paraId="1F7FFD4D" w14:textId="77777777" w:rsidR="003E18A8" w:rsidRPr="001957BF" w:rsidRDefault="003E18A8" w:rsidP="00961A7C">
            <w:pPr>
              <w:tabs>
                <w:tab w:val="left" w:pos="227"/>
                <w:tab w:val="left" w:pos="284"/>
                <w:tab w:val="left" w:pos="397"/>
                <w:tab w:val="left" w:pos="567"/>
              </w:tabs>
              <w:spacing w:before="40" w:after="40"/>
              <w:jc w:val="center"/>
              <w:rPr>
                <w:b/>
              </w:rPr>
            </w:pPr>
            <w:r w:rsidRPr="001957BF">
              <w:t>6</w:t>
            </w:r>
            <w:r w:rsidR="002649FA" w:rsidRPr="001957BF">
              <w:t>,</w:t>
            </w:r>
            <w:r w:rsidRPr="001957BF">
              <w:t>5%</w:t>
            </w:r>
          </w:p>
        </w:tc>
        <w:tc>
          <w:tcPr>
            <w:tcW w:w="1191" w:type="dxa"/>
            <w:tcBorders>
              <w:top w:val="single" w:sz="8" w:space="0" w:color="auto"/>
              <w:bottom w:val="single" w:sz="8" w:space="0" w:color="auto"/>
            </w:tcBorders>
            <w:shd w:val="clear" w:color="auto" w:fill="auto"/>
            <w:vAlign w:val="center"/>
          </w:tcPr>
          <w:p w14:paraId="0C2533B7" w14:textId="77777777" w:rsidR="003E18A8" w:rsidRPr="001957BF" w:rsidRDefault="003E18A8" w:rsidP="00961A7C">
            <w:pPr>
              <w:tabs>
                <w:tab w:val="left" w:pos="227"/>
                <w:tab w:val="left" w:pos="284"/>
                <w:tab w:val="left" w:pos="397"/>
                <w:tab w:val="left" w:pos="567"/>
              </w:tabs>
              <w:spacing w:before="40" w:after="40"/>
              <w:jc w:val="center"/>
              <w:rPr>
                <w:b/>
              </w:rPr>
            </w:pPr>
            <w:r w:rsidRPr="001957BF">
              <w:t>8</w:t>
            </w:r>
            <w:r w:rsidR="002649FA" w:rsidRPr="001957BF">
              <w:t>,</w:t>
            </w:r>
            <w:r w:rsidRPr="001957BF">
              <w:t>7%</w:t>
            </w:r>
          </w:p>
        </w:tc>
        <w:tc>
          <w:tcPr>
            <w:tcW w:w="1190" w:type="dxa"/>
            <w:tcBorders>
              <w:top w:val="single" w:sz="8" w:space="0" w:color="auto"/>
              <w:bottom w:val="single" w:sz="8" w:space="0" w:color="auto"/>
            </w:tcBorders>
            <w:shd w:val="clear" w:color="auto" w:fill="auto"/>
            <w:vAlign w:val="center"/>
          </w:tcPr>
          <w:p w14:paraId="0A3DA490" w14:textId="77777777" w:rsidR="003E18A8" w:rsidRPr="001957BF" w:rsidRDefault="003E18A8" w:rsidP="00961A7C">
            <w:pPr>
              <w:tabs>
                <w:tab w:val="left" w:pos="227"/>
                <w:tab w:val="left" w:pos="284"/>
                <w:tab w:val="left" w:pos="397"/>
                <w:tab w:val="left" w:pos="567"/>
              </w:tabs>
              <w:spacing w:before="40" w:after="40"/>
              <w:jc w:val="center"/>
              <w:rPr>
                <w:b/>
              </w:rPr>
            </w:pPr>
            <w:r w:rsidRPr="001957BF">
              <w:t>6</w:t>
            </w:r>
            <w:r w:rsidR="002649FA" w:rsidRPr="001957BF">
              <w:t>,</w:t>
            </w:r>
            <w:r w:rsidRPr="001957BF">
              <w:t>6%</w:t>
            </w:r>
          </w:p>
        </w:tc>
        <w:tc>
          <w:tcPr>
            <w:tcW w:w="1191" w:type="dxa"/>
            <w:tcBorders>
              <w:top w:val="single" w:sz="8" w:space="0" w:color="auto"/>
              <w:bottom w:val="single" w:sz="8" w:space="0" w:color="auto"/>
            </w:tcBorders>
            <w:shd w:val="clear" w:color="auto" w:fill="auto"/>
            <w:vAlign w:val="center"/>
          </w:tcPr>
          <w:p w14:paraId="79DEDAD0" w14:textId="77777777" w:rsidR="003E18A8" w:rsidRPr="001957BF" w:rsidRDefault="003E18A8" w:rsidP="00961A7C">
            <w:pPr>
              <w:tabs>
                <w:tab w:val="left" w:pos="227"/>
                <w:tab w:val="left" w:pos="284"/>
                <w:tab w:val="left" w:pos="397"/>
                <w:tab w:val="left" w:pos="567"/>
              </w:tabs>
              <w:spacing w:before="40" w:after="40"/>
              <w:jc w:val="center"/>
              <w:rPr>
                <w:b/>
              </w:rPr>
            </w:pPr>
            <w:r w:rsidRPr="001957BF">
              <w:t>12</w:t>
            </w:r>
            <w:r w:rsidR="002649FA" w:rsidRPr="001957BF">
              <w:t>,</w:t>
            </w:r>
            <w:r w:rsidRPr="001957BF">
              <w:t>7%</w:t>
            </w:r>
          </w:p>
        </w:tc>
        <w:tc>
          <w:tcPr>
            <w:tcW w:w="1191" w:type="dxa"/>
            <w:tcBorders>
              <w:top w:val="single" w:sz="8" w:space="0" w:color="auto"/>
              <w:bottom w:val="single" w:sz="8" w:space="0" w:color="auto"/>
            </w:tcBorders>
            <w:shd w:val="clear" w:color="auto" w:fill="auto"/>
            <w:vAlign w:val="center"/>
          </w:tcPr>
          <w:p w14:paraId="757D47BC" w14:textId="77777777" w:rsidR="003E18A8" w:rsidRPr="001957BF" w:rsidRDefault="003E18A8" w:rsidP="00961A7C">
            <w:pPr>
              <w:tabs>
                <w:tab w:val="left" w:pos="227"/>
                <w:tab w:val="left" w:pos="284"/>
                <w:tab w:val="left" w:pos="397"/>
                <w:tab w:val="left" w:pos="567"/>
              </w:tabs>
              <w:spacing w:before="40" w:after="40"/>
              <w:jc w:val="center"/>
              <w:rPr>
                <w:b/>
              </w:rPr>
            </w:pPr>
            <w:r w:rsidRPr="001957BF">
              <w:t>7</w:t>
            </w:r>
            <w:r w:rsidR="002649FA" w:rsidRPr="001957BF">
              <w:t>,</w:t>
            </w:r>
            <w:r w:rsidRPr="001957BF">
              <w:t>6%</w:t>
            </w:r>
          </w:p>
        </w:tc>
      </w:tr>
      <w:tr w:rsidR="00E64332" w:rsidRPr="00E96466" w14:paraId="3998A135" w14:textId="77777777" w:rsidTr="00E64332">
        <w:tc>
          <w:tcPr>
            <w:tcW w:w="3261" w:type="dxa"/>
            <w:tcBorders>
              <w:top w:val="single" w:sz="8" w:space="0" w:color="auto"/>
              <w:bottom w:val="single" w:sz="8" w:space="0" w:color="auto"/>
            </w:tcBorders>
            <w:shd w:val="clear" w:color="auto" w:fill="BFBFBF" w:themeFill="background1" w:themeFillShade="BF"/>
            <w:vAlign w:val="center"/>
          </w:tcPr>
          <w:p w14:paraId="47DE23DB" w14:textId="77777777" w:rsidR="003E18A8" w:rsidRPr="001957BF" w:rsidRDefault="001957BF" w:rsidP="00AE5553">
            <w:pPr>
              <w:tabs>
                <w:tab w:val="left" w:pos="227"/>
                <w:tab w:val="left" w:pos="284"/>
                <w:tab w:val="left" w:pos="397"/>
                <w:tab w:val="left" w:pos="567"/>
              </w:tabs>
              <w:spacing w:before="40" w:after="40"/>
              <w:jc w:val="both"/>
              <w:rPr>
                <w:b/>
                <w:sz w:val="18"/>
                <w:szCs w:val="18"/>
              </w:rPr>
            </w:pPr>
            <w:r>
              <w:rPr>
                <w:b/>
                <w:sz w:val="18"/>
                <w:szCs w:val="18"/>
              </w:rPr>
              <w:t>Total</w:t>
            </w:r>
          </w:p>
        </w:tc>
        <w:tc>
          <w:tcPr>
            <w:tcW w:w="1190" w:type="dxa"/>
            <w:tcBorders>
              <w:top w:val="single" w:sz="8" w:space="0" w:color="auto"/>
              <w:bottom w:val="single" w:sz="8" w:space="0" w:color="auto"/>
            </w:tcBorders>
            <w:shd w:val="clear" w:color="auto" w:fill="BFBFBF" w:themeFill="background1" w:themeFillShade="BF"/>
            <w:vAlign w:val="center"/>
          </w:tcPr>
          <w:p w14:paraId="30125E94"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37</w:t>
            </w:r>
            <w:r w:rsidR="002649FA" w:rsidRPr="001957BF">
              <w:rPr>
                <w:b/>
              </w:rPr>
              <w:t>,</w:t>
            </w:r>
            <w:r w:rsidRPr="001957BF">
              <w:rPr>
                <w:b/>
              </w:rPr>
              <w:t>4%</w:t>
            </w:r>
          </w:p>
        </w:tc>
        <w:tc>
          <w:tcPr>
            <w:tcW w:w="1191" w:type="dxa"/>
            <w:tcBorders>
              <w:top w:val="single" w:sz="8" w:space="0" w:color="auto"/>
              <w:bottom w:val="single" w:sz="8" w:space="0" w:color="auto"/>
            </w:tcBorders>
            <w:shd w:val="clear" w:color="auto" w:fill="BFBFBF" w:themeFill="background1" w:themeFillShade="BF"/>
            <w:vAlign w:val="center"/>
          </w:tcPr>
          <w:p w14:paraId="4BC31B52"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48</w:t>
            </w:r>
            <w:r w:rsidR="002649FA" w:rsidRPr="001957BF">
              <w:rPr>
                <w:b/>
              </w:rPr>
              <w:t>,</w:t>
            </w:r>
            <w:r w:rsidRPr="001957BF">
              <w:rPr>
                <w:b/>
              </w:rPr>
              <w:t>3%</w:t>
            </w:r>
          </w:p>
        </w:tc>
        <w:tc>
          <w:tcPr>
            <w:tcW w:w="1190" w:type="dxa"/>
            <w:tcBorders>
              <w:top w:val="single" w:sz="8" w:space="0" w:color="auto"/>
              <w:bottom w:val="single" w:sz="8" w:space="0" w:color="auto"/>
            </w:tcBorders>
            <w:shd w:val="clear" w:color="auto" w:fill="BFBFBF" w:themeFill="background1" w:themeFillShade="BF"/>
            <w:vAlign w:val="center"/>
          </w:tcPr>
          <w:p w14:paraId="16FC048A"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37</w:t>
            </w:r>
            <w:r w:rsidR="002649FA" w:rsidRPr="001957BF">
              <w:rPr>
                <w:b/>
              </w:rPr>
              <w:t>,</w:t>
            </w:r>
            <w:r w:rsidRPr="001957BF">
              <w:rPr>
                <w:b/>
              </w:rPr>
              <w:t>9%</w:t>
            </w:r>
          </w:p>
        </w:tc>
        <w:tc>
          <w:tcPr>
            <w:tcW w:w="1191" w:type="dxa"/>
            <w:tcBorders>
              <w:top w:val="single" w:sz="8" w:space="0" w:color="auto"/>
              <w:bottom w:val="single" w:sz="8" w:space="0" w:color="auto"/>
            </w:tcBorders>
            <w:shd w:val="clear" w:color="auto" w:fill="BFBFBF" w:themeFill="background1" w:themeFillShade="BF"/>
            <w:vAlign w:val="center"/>
          </w:tcPr>
          <w:p w14:paraId="5D46DD40"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86</w:t>
            </w:r>
            <w:r w:rsidR="002649FA" w:rsidRPr="001957BF">
              <w:rPr>
                <w:b/>
              </w:rPr>
              <w:t>,</w:t>
            </w:r>
            <w:r w:rsidRPr="001957BF">
              <w:rPr>
                <w:b/>
              </w:rPr>
              <w:t>2%</w:t>
            </w:r>
          </w:p>
        </w:tc>
        <w:tc>
          <w:tcPr>
            <w:tcW w:w="1191" w:type="dxa"/>
            <w:tcBorders>
              <w:top w:val="single" w:sz="8" w:space="0" w:color="auto"/>
              <w:bottom w:val="single" w:sz="8" w:space="0" w:color="auto"/>
            </w:tcBorders>
            <w:shd w:val="clear" w:color="auto" w:fill="BFBFBF" w:themeFill="background1" w:themeFillShade="BF"/>
            <w:vAlign w:val="center"/>
          </w:tcPr>
          <w:p w14:paraId="02A2C628" w14:textId="77777777" w:rsidR="003E18A8" w:rsidRPr="001957BF" w:rsidRDefault="003E18A8" w:rsidP="00961A7C">
            <w:pPr>
              <w:tabs>
                <w:tab w:val="left" w:pos="227"/>
                <w:tab w:val="left" w:pos="284"/>
                <w:tab w:val="left" w:pos="397"/>
                <w:tab w:val="left" w:pos="567"/>
              </w:tabs>
              <w:spacing w:before="40" w:after="40"/>
              <w:jc w:val="center"/>
              <w:rPr>
                <w:b/>
              </w:rPr>
            </w:pPr>
            <w:r w:rsidRPr="001957BF">
              <w:rPr>
                <w:b/>
              </w:rPr>
              <w:t>45</w:t>
            </w:r>
            <w:r w:rsidR="002649FA" w:rsidRPr="001957BF">
              <w:rPr>
                <w:b/>
              </w:rPr>
              <w:t>,</w:t>
            </w:r>
            <w:r w:rsidRPr="001957BF">
              <w:rPr>
                <w:b/>
              </w:rPr>
              <w:t>6%</w:t>
            </w:r>
          </w:p>
        </w:tc>
      </w:tr>
    </w:tbl>
    <w:p w14:paraId="2F6D3C55" w14:textId="437F7C62" w:rsidR="001E24AB" w:rsidRPr="00E8083A" w:rsidRDefault="003E18A8" w:rsidP="00711548">
      <w:pPr>
        <w:pStyle w:val="BNDES"/>
        <w:spacing w:before="60" w:after="480"/>
        <w:rPr>
          <w:sz w:val="20"/>
          <w:szCs w:val="20"/>
        </w:rPr>
      </w:pPr>
      <w:r w:rsidRPr="00E8083A">
        <w:rPr>
          <w:sz w:val="20"/>
          <w:szCs w:val="20"/>
        </w:rPr>
        <w:t xml:space="preserve">Fonte: </w:t>
      </w:r>
      <w:r w:rsidR="001E24AB" w:rsidRPr="00E8083A">
        <w:rPr>
          <w:noProof/>
          <w:sz w:val="20"/>
          <w:szCs w:val="20"/>
        </w:rPr>
        <w:t>Cânedo-</w:t>
      </w:r>
      <w:r w:rsidR="0098399D">
        <w:rPr>
          <w:noProof/>
          <w:sz w:val="20"/>
          <w:szCs w:val="20"/>
        </w:rPr>
        <w:t>Pinheiro, Lage de Sousa &amp;</w:t>
      </w:r>
      <w:r w:rsidR="001E24AB" w:rsidRPr="00E8083A">
        <w:rPr>
          <w:noProof/>
          <w:sz w:val="20"/>
          <w:szCs w:val="20"/>
        </w:rPr>
        <w:t xml:space="preserve"> </w:t>
      </w:r>
      <w:r w:rsidR="0039143D">
        <w:rPr>
          <w:noProof/>
          <w:sz w:val="20"/>
          <w:szCs w:val="20"/>
        </w:rPr>
        <w:t>Oliveira</w:t>
      </w:r>
      <w:r w:rsidR="001E24AB" w:rsidRPr="00E8083A">
        <w:rPr>
          <w:noProof/>
          <w:sz w:val="20"/>
          <w:szCs w:val="20"/>
        </w:rPr>
        <w:t xml:space="preserve"> (201</w:t>
      </w:r>
      <w:r w:rsidR="0039143D">
        <w:rPr>
          <w:noProof/>
          <w:sz w:val="20"/>
          <w:szCs w:val="20"/>
        </w:rPr>
        <w:t>8</w:t>
      </w:r>
      <w:r w:rsidR="001E24AB" w:rsidRPr="00E8083A">
        <w:rPr>
          <w:noProof/>
          <w:sz w:val="20"/>
          <w:szCs w:val="20"/>
        </w:rPr>
        <w:t>), a partir de dados da PINTEC.</w:t>
      </w:r>
    </w:p>
    <w:p w14:paraId="0CB05DB4" w14:textId="77777777" w:rsidR="00F07446" w:rsidRDefault="00F07446" w:rsidP="00A63FBF">
      <w:pPr>
        <w:pStyle w:val="BNDES"/>
        <w:spacing w:before="120" w:after="240"/>
        <w:rPr>
          <w:b/>
          <w:szCs w:val="24"/>
        </w:rPr>
      </w:pPr>
      <w:r>
        <w:rPr>
          <w:b/>
          <w:szCs w:val="24"/>
        </w:rPr>
        <w:t>Como fazer os dados falarem?</w:t>
      </w:r>
    </w:p>
    <w:p w14:paraId="6507672E" w14:textId="77777777" w:rsidR="00960042" w:rsidRDefault="00960042" w:rsidP="00E766E9">
      <w:pPr>
        <w:pStyle w:val="BNDES"/>
        <w:spacing w:before="120" w:after="240"/>
        <w:rPr>
          <w:szCs w:val="24"/>
        </w:rPr>
      </w:pPr>
      <w:r>
        <w:rPr>
          <w:szCs w:val="24"/>
        </w:rPr>
        <w:t xml:space="preserve">De modo bastante resumido, a ideia é usar as observações do comportamento individual das empresas (a partir de suas respostas ao questionário da PINTEC) e um modelo estatístico para extrair relações entre determinadas variáveis. Em especial, para medir o impacto de diferentes barreiras à inovação na probabilidade de uma empresa de fato inovar.  </w:t>
      </w:r>
    </w:p>
    <w:p w14:paraId="680E30AB" w14:textId="77777777" w:rsidR="00641652" w:rsidRDefault="004E638F" w:rsidP="00E766E9">
      <w:pPr>
        <w:pStyle w:val="BNDES"/>
        <w:spacing w:before="120" w:after="240"/>
        <w:rPr>
          <w:szCs w:val="24"/>
        </w:rPr>
      </w:pPr>
      <w:r>
        <w:rPr>
          <w:szCs w:val="24"/>
        </w:rPr>
        <w:t>Nesse sentido</w:t>
      </w:r>
      <w:r w:rsidR="00F07446">
        <w:rPr>
          <w:szCs w:val="24"/>
        </w:rPr>
        <w:t>, como se quer</w:t>
      </w:r>
      <w:r w:rsidR="001B5039">
        <w:rPr>
          <w:szCs w:val="24"/>
        </w:rPr>
        <w:t>ia</w:t>
      </w:r>
      <w:r w:rsidR="00F07446">
        <w:rPr>
          <w:szCs w:val="24"/>
        </w:rPr>
        <w:t xml:space="preserve"> capturar o efeito isolado das barreiras à inovação, foi preciso incluir no modelo uma série de outras variáveis explicativas que também influenciam a propensão a inovar das empresas. </w:t>
      </w:r>
    </w:p>
    <w:p w14:paraId="036DEB9D" w14:textId="6F1D2637" w:rsidR="00641652" w:rsidRDefault="00641652" w:rsidP="00F07446">
      <w:pPr>
        <w:pStyle w:val="BNDES"/>
        <w:spacing w:before="120" w:after="240"/>
        <w:rPr>
          <w:szCs w:val="24"/>
        </w:rPr>
      </w:pPr>
      <w:r>
        <w:rPr>
          <w:szCs w:val="24"/>
        </w:rPr>
        <w:t>Outr</w:t>
      </w:r>
      <w:r w:rsidR="00E766E9">
        <w:rPr>
          <w:szCs w:val="24"/>
        </w:rPr>
        <w:t>o</w:t>
      </w:r>
      <w:r>
        <w:rPr>
          <w:szCs w:val="24"/>
        </w:rPr>
        <w:t xml:space="preserve"> </w:t>
      </w:r>
      <w:r w:rsidR="00E766E9">
        <w:rPr>
          <w:szCs w:val="24"/>
        </w:rPr>
        <w:t xml:space="preserve">ponto importante </w:t>
      </w:r>
      <w:r>
        <w:rPr>
          <w:szCs w:val="24"/>
        </w:rPr>
        <w:t xml:space="preserve">é que existem características não observáveis que também influenciam a propensão a inovar das empresas. A não consideração dessas </w:t>
      </w:r>
      <w:r w:rsidR="001B5039">
        <w:rPr>
          <w:szCs w:val="24"/>
        </w:rPr>
        <w:t xml:space="preserve">características </w:t>
      </w:r>
      <w:r>
        <w:rPr>
          <w:szCs w:val="24"/>
        </w:rPr>
        <w:t xml:space="preserve">pode </w:t>
      </w:r>
      <w:r w:rsidR="00E766E9">
        <w:rPr>
          <w:szCs w:val="24"/>
        </w:rPr>
        <w:t xml:space="preserve">prejudicar </w:t>
      </w:r>
      <w:r w:rsidR="00E766E9">
        <w:rPr>
          <w:szCs w:val="24"/>
        </w:rPr>
        <w:lastRenderedPageBreak/>
        <w:t>a correta estimação do</w:t>
      </w:r>
      <w:r w:rsidR="001B5039">
        <w:rPr>
          <w:szCs w:val="24"/>
        </w:rPr>
        <w:t>s</w:t>
      </w:r>
      <w:r w:rsidR="00E766E9">
        <w:rPr>
          <w:szCs w:val="24"/>
        </w:rPr>
        <w:t xml:space="preserve"> </w:t>
      </w:r>
      <w:r w:rsidR="001B5039">
        <w:rPr>
          <w:szCs w:val="24"/>
        </w:rPr>
        <w:t xml:space="preserve">impactos </w:t>
      </w:r>
      <w:r w:rsidR="00E766E9">
        <w:rPr>
          <w:szCs w:val="24"/>
        </w:rPr>
        <w:t xml:space="preserve">das barreiras à inovação. </w:t>
      </w:r>
      <w:r w:rsidR="003F0EAE">
        <w:rPr>
          <w:szCs w:val="24"/>
        </w:rPr>
        <w:t>Para contornar essa limitação, aproveitou-se do fato de que algumas empresas aparece</w:t>
      </w:r>
      <w:r w:rsidR="002C06BF">
        <w:rPr>
          <w:szCs w:val="24"/>
        </w:rPr>
        <w:t>m</w:t>
      </w:r>
      <w:r w:rsidR="003F0EAE">
        <w:rPr>
          <w:szCs w:val="24"/>
        </w:rPr>
        <w:t xml:space="preserve"> mais de uma vez na amostra</w:t>
      </w:r>
      <w:r w:rsidR="004A796A">
        <w:rPr>
          <w:szCs w:val="24"/>
        </w:rPr>
        <w:t xml:space="preserve"> (painel desbalanceado). Deste modo, é possível levar em consideração a presença de efeitos não observados que são específicos às empresas, mas que não mudam com o passar dos anos. Para mais detalhes ver </w:t>
      </w:r>
      <w:r w:rsidR="001B5039">
        <w:rPr>
          <w:szCs w:val="24"/>
        </w:rPr>
        <w:t xml:space="preserve">a seção 3 </w:t>
      </w:r>
      <w:r w:rsidR="004A796A">
        <w:rPr>
          <w:szCs w:val="24"/>
        </w:rPr>
        <w:t>de Canêdo-</w:t>
      </w:r>
      <w:r w:rsidR="0098399D">
        <w:rPr>
          <w:szCs w:val="24"/>
        </w:rPr>
        <w:t>Pinheiro, Lage de Sousa &amp;</w:t>
      </w:r>
      <w:r w:rsidR="004A796A">
        <w:rPr>
          <w:szCs w:val="24"/>
        </w:rPr>
        <w:t xml:space="preserve"> Oliveira (2018).</w:t>
      </w:r>
    </w:p>
    <w:p w14:paraId="2AF49132" w14:textId="57B0844E" w:rsidR="00960042" w:rsidRDefault="00641652" w:rsidP="00960042">
      <w:pPr>
        <w:pStyle w:val="BNDES"/>
        <w:spacing w:before="120" w:after="240"/>
        <w:rPr>
          <w:szCs w:val="24"/>
        </w:rPr>
      </w:pPr>
      <w:r>
        <w:rPr>
          <w:szCs w:val="24"/>
        </w:rPr>
        <w:t xml:space="preserve">Por fim, </w:t>
      </w:r>
      <w:r w:rsidR="00960042">
        <w:rPr>
          <w:szCs w:val="24"/>
        </w:rPr>
        <w:t xml:space="preserve">as barreiras </w:t>
      </w:r>
      <w:r>
        <w:rPr>
          <w:szCs w:val="24"/>
        </w:rPr>
        <w:t xml:space="preserve">explicam a propensão a inovar </w:t>
      </w:r>
      <w:r w:rsidR="002C06BF">
        <w:rPr>
          <w:szCs w:val="24"/>
        </w:rPr>
        <w:t xml:space="preserve">das empresas </w:t>
      </w:r>
      <w:r w:rsidR="00960042">
        <w:rPr>
          <w:szCs w:val="24"/>
        </w:rPr>
        <w:t xml:space="preserve">brasileiras, mas </w:t>
      </w:r>
      <w:r>
        <w:rPr>
          <w:szCs w:val="24"/>
        </w:rPr>
        <w:t xml:space="preserve">também são afetadas, elas mesmas, </w:t>
      </w:r>
      <w:r w:rsidR="002C06BF">
        <w:rPr>
          <w:szCs w:val="24"/>
        </w:rPr>
        <w:t xml:space="preserve">por essa </w:t>
      </w:r>
      <w:r>
        <w:rPr>
          <w:szCs w:val="24"/>
        </w:rPr>
        <w:t xml:space="preserve">propensão. </w:t>
      </w:r>
      <w:r w:rsidR="00147E73">
        <w:rPr>
          <w:szCs w:val="24"/>
        </w:rPr>
        <w:t xml:space="preserve">É o que a literatura convencionou chamar de problema de endogeneidade. </w:t>
      </w:r>
      <w:r w:rsidR="001B5039">
        <w:rPr>
          <w:szCs w:val="24"/>
        </w:rPr>
        <w:t>Outra vez</w:t>
      </w:r>
      <w:r w:rsidR="00960042">
        <w:rPr>
          <w:szCs w:val="24"/>
        </w:rPr>
        <w:t>, isso gera problemas para a correta estimação do</w:t>
      </w:r>
      <w:r w:rsidR="001B5039">
        <w:rPr>
          <w:szCs w:val="24"/>
        </w:rPr>
        <w:t>s</w:t>
      </w:r>
      <w:r w:rsidR="00960042">
        <w:rPr>
          <w:szCs w:val="24"/>
        </w:rPr>
        <w:t xml:space="preserve"> efeito</w:t>
      </w:r>
      <w:r w:rsidR="001B5039">
        <w:rPr>
          <w:szCs w:val="24"/>
        </w:rPr>
        <w:t>s</w:t>
      </w:r>
      <w:r w:rsidR="00960042">
        <w:rPr>
          <w:szCs w:val="24"/>
        </w:rPr>
        <w:t xml:space="preserve"> dos obstáculos na probabilidade de inovação. Para lidar com este ponto foi necessário o uso de variáveis que influenciam a presença de barreiras à inovação, mas que não afetam a probabilidade de inovar por outros canais</w:t>
      </w:r>
      <w:r w:rsidR="00643373">
        <w:rPr>
          <w:szCs w:val="24"/>
        </w:rPr>
        <w:t xml:space="preserve"> (que não as barreiras)</w:t>
      </w:r>
      <w:r w:rsidR="001B5039">
        <w:rPr>
          <w:szCs w:val="24"/>
        </w:rPr>
        <w:t xml:space="preserve"> </w:t>
      </w:r>
      <w:r w:rsidR="00643373">
        <w:rPr>
          <w:szCs w:val="24"/>
        </w:rPr>
        <w:t xml:space="preserve">São </w:t>
      </w:r>
      <w:r w:rsidR="001B5039">
        <w:rPr>
          <w:szCs w:val="24"/>
        </w:rPr>
        <w:t>os chamados instrumentos</w:t>
      </w:r>
      <w:r w:rsidR="00643373">
        <w:rPr>
          <w:szCs w:val="24"/>
        </w:rPr>
        <w:t>.</w:t>
      </w:r>
      <w:r w:rsidR="00960042">
        <w:rPr>
          <w:szCs w:val="24"/>
        </w:rPr>
        <w:t xml:space="preserve"> </w:t>
      </w:r>
      <w:r w:rsidR="0020191D">
        <w:rPr>
          <w:szCs w:val="24"/>
        </w:rPr>
        <w:t xml:space="preserve">Este é um avanço metodológico importante. </w:t>
      </w:r>
      <w:r w:rsidR="001B5039">
        <w:rPr>
          <w:szCs w:val="24"/>
        </w:rPr>
        <w:t>Novamente, p</w:t>
      </w:r>
      <w:r w:rsidR="00960042">
        <w:rPr>
          <w:szCs w:val="24"/>
        </w:rPr>
        <w:t xml:space="preserve">ara mais detalhes </w:t>
      </w:r>
      <w:r w:rsidR="00147E73">
        <w:rPr>
          <w:szCs w:val="24"/>
        </w:rPr>
        <w:t xml:space="preserve">a este respeito </w:t>
      </w:r>
      <w:r w:rsidR="00960042">
        <w:rPr>
          <w:szCs w:val="24"/>
        </w:rPr>
        <w:t>ver seção 3 de Canêdo-</w:t>
      </w:r>
      <w:r w:rsidR="0098399D">
        <w:rPr>
          <w:szCs w:val="24"/>
        </w:rPr>
        <w:t>Pinheiro, Lage de Sousa &amp;</w:t>
      </w:r>
      <w:r w:rsidR="00960042">
        <w:rPr>
          <w:szCs w:val="24"/>
        </w:rPr>
        <w:t xml:space="preserve"> Oliveira (2018).</w:t>
      </w:r>
    </w:p>
    <w:p w14:paraId="0372F69F" w14:textId="77777777" w:rsidR="0014706F" w:rsidRPr="000464BC" w:rsidRDefault="000464BC" w:rsidP="00A63FBF">
      <w:pPr>
        <w:pStyle w:val="BNDES"/>
        <w:spacing w:before="120" w:after="240"/>
        <w:rPr>
          <w:szCs w:val="24"/>
        </w:rPr>
      </w:pPr>
      <w:r>
        <w:rPr>
          <w:b/>
          <w:szCs w:val="24"/>
        </w:rPr>
        <w:t xml:space="preserve">O </w:t>
      </w:r>
      <w:r w:rsidR="00B52FD7">
        <w:rPr>
          <w:b/>
          <w:szCs w:val="24"/>
        </w:rPr>
        <w:t>q</w:t>
      </w:r>
      <w:r>
        <w:rPr>
          <w:b/>
          <w:szCs w:val="24"/>
        </w:rPr>
        <w:t xml:space="preserve">ue </w:t>
      </w:r>
      <w:r w:rsidR="00B52FD7">
        <w:rPr>
          <w:b/>
          <w:szCs w:val="24"/>
        </w:rPr>
        <w:t>n</w:t>
      </w:r>
      <w:r>
        <w:rPr>
          <w:b/>
          <w:szCs w:val="24"/>
        </w:rPr>
        <w:t xml:space="preserve">os </w:t>
      </w:r>
      <w:r w:rsidR="00B52FD7">
        <w:rPr>
          <w:b/>
          <w:szCs w:val="24"/>
        </w:rPr>
        <w:t>d</w:t>
      </w:r>
      <w:r>
        <w:rPr>
          <w:b/>
          <w:szCs w:val="24"/>
        </w:rPr>
        <w:t xml:space="preserve">izem os </w:t>
      </w:r>
      <w:r w:rsidR="00B52FD7">
        <w:rPr>
          <w:b/>
          <w:szCs w:val="24"/>
        </w:rPr>
        <w:t>d</w:t>
      </w:r>
      <w:r>
        <w:rPr>
          <w:b/>
          <w:szCs w:val="24"/>
        </w:rPr>
        <w:t>ados?</w:t>
      </w:r>
    </w:p>
    <w:p w14:paraId="6C6BE1DD" w14:textId="77777777" w:rsidR="00234257" w:rsidRDefault="00CE2287" w:rsidP="00E766E9">
      <w:pPr>
        <w:pStyle w:val="BNDES"/>
        <w:spacing w:before="120" w:after="240"/>
        <w:rPr>
          <w:szCs w:val="24"/>
        </w:rPr>
      </w:pPr>
      <w:r>
        <w:rPr>
          <w:szCs w:val="24"/>
        </w:rPr>
        <w:t xml:space="preserve">A Tabela </w:t>
      </w:r>
      <w:r w:rsidR="00B55372">
        <w:rPr>
          <w:szCs w:val="24"/>
        </w:rPr>
        <w:t>3</w:t>
      </w:r>
      <w:r>
        <w:rPr>
          <w:szCs w:val="24"/>
        </w:rPr>
        <w:t xml:space="preserve"> resume os resultados encontrados e apresenta </w:t>
      </w:r>
      <w:r w:rsidR="00732207">
        <w:rPr>
          <w:szCs w:val="24"/>
        </w:rPr>
        <w:t>a estimativa d</w:t>
      </w:r>
      <w:r>
        <w:rPr>
          <w:szCs w:val="24"/>
        </w:rPr>
        <w:t>o impacto</w:t>
      </w:r>
      <w:r w:rsidR="00327D92">
        <w:rPr>
          <w:szCs w:val="24"/>
        </w:rPr>
        <w:t xml:space="preserve"> médio</w:t>
      </w:r>
      <w:r>
        <w:rPr>
          <w:szCs w:val="24"/>
        </w:rPr>
        <w:t xml:space="preserve"> de cada obstáculo na probabilidade de uma empresa inovar. </w:t>
      </w:r>
      <w:r w:rsidR="00CD48B2">
        <w:rPr>
          <w:szCs w:val="24"/>
        </w:rPr>
        <w:t xml:space="preserve">Por exemplo, </w:t>
      </w:r>
      <w:r w:rsidR="00B14A5D">
        <w:rPr>
          <w:szCs w:val="24"/>
        </w:rPr>
        <w:t xml:space="preserve">o valor de -0,540 na primeira linha e primeira </w:t>
      </w:r>
      <w:r w:rsidR="00CD48B2">
        <w:rPr>
          <w:szCs w:val="24"/>
        </w:rPr>
        <w:t xml:space="preserve">coluna </w:t>
      </w:r>
      <w:r w:rsidR="00B14A5D">
        <w:rPr>
          <w:szCs w:val="24"/>
        </w:rPr>
        <w:t xml:space="preserve">indica que, </w:t>
      </w:r>
      <w:r w:rsidR="00CD48B2">
        <w:rPr>
          <w:szCs w:val="24"/>
        </w:rPr>
        <w:t>tudo mais constante, o</w:t>
      </w:r>
      <w:r w:rsidR="00681B30">
        <w:rPr>
          <w:szCs w:val="24"/>
        </w:rPr>
        <w:t xml:space="preserve"> aumento de 10 pontos percentuais na probabilidade de uma empresa enfrentar obstáculos financeiros gera </w:t>
      </w:r>
      <w:r w:rsidR="00732207">
        <w:rPr>
          <w:szCs w:val="24"/>
        </w:rPr>
        <w:t xml:space="preserve">em média </w:t>
      </w:r>
      <w:r w:rsidR="00681B30">
        <w:rPr>
          <w:szCs w:val="24"/>
        </w:rPr>
        <w:t>redução de 5,</w:t>
      </w:r>
      <w:r w:rsidR="00D71B39">
        <w:rPr>
          <w:szCs w:val="24"/>
        </w:rPr>
        <w:t xml:space="preserve">40 pontos percentuais na probabilidade de inovar. </w:t>
      </w:r>
      <w:r w:rsidR="00B14A5D">
        <w:rPr>
          <w:szCs w:val="24"/>
        </w:rPr>
        <w:t xml:space="preserve">O efeito dos obstáculos de conhecimento é similar: queda de </w:t>
      </w:r>
      <w:r w:rsidR="00327D92">
        <w:rPr>
          <w:szCs w:val="24"/>
        </w:rPr>
        <w:t xml:space="preserve">em média </w:t>
      </w:r>
      <w:r w:rsidR="00B14A5D">
        <w:rPr>
          <w:szCs w:val="24"/>
        </w:rPr>
        <w:t xml:space="preserve">4,58 pontos percentuais na probabilidade de uma empresa inovar. </w:t>
      </w:r>
    </w:p>
    <w:p w14:paraId="01C4CCA8" w14:textId="77777777" w:rsidR="007D772F" w:rsidRDefault="007D772F" w:rsidP="00E766E9">
      <w:pPr>
        <w:pStyle w:val="BNDES"/>
        <w:spacing w:before="120" w:after="240"/>
        <w:rPr>
          <w:szCs w:val="24"/>
        </w:rPr>
      </w:pPr>
      <w:r>
        <w:rPr>
          <w:szCs w:val="24"/>
        </w:rPr>
        <w:t xml:space="preserve">Ademais, entre parênteses se encontram os desvios-padrão das estimativas dos impactos. Quanto menor o desvio-padrão, mais precisa a estimativa. Estimativas não marcadas com asterisco são tão </w:t>
      </w:r>
      <w:r w:rsidRPr="007D772F">
        <w:t xml:space="preserve">imprecisas que </w:t>
      </w:r>
      <w:r>
        <w:t xml:space="preserve">(do ponto de vista estatístico) </w:t>
      </w:r>
      <w:r w:rsidRPr="007D772F">
        <w:t>não é possível distingui-l</w:t>
      </w:r>
      <w:r>
        <w:t>a</w:t>
      </w:r>
      <w:r w:rsidRPr="007D772F">
        <w:t>s da ausência de impacto</w:t>
      </w:r>
      <w:r>
        <w:t xml:space="preserve">. </w:t>
      </w:r>
      <w:r w:rsidR="00DC00F8">
        <w:t xml:space="preserve">Ou seja, em termos práticos será dada atenção às estimativas mais precisas, marcadas com asteriscos. </w:t>
      </w:r>
    </w:p>
    <w:p w14:paraId="75EBF5C3" w14:textId="77777777" w:rsidR="00D37FC6" w:rsidRPr="00AD2A60" w:rsidRDefault="00D37FC6" w:rsidP="00DA358C">
      <w:pPr>
        <w:pStyle w:val="BNDES"/>
        <w:spacing w:before="120" w:after="120"/>
        <w:rPr>
          <w:szCs w:val="24"/>
        </w:rPr>
      </w:pPr>
      <w:r w:rsidRPr="00AD2A60">
        <w:rPr>
          <w:b/>
          <w:szCs w:val="24"/>
        </w:rPr>
        <w:t xml:space="preserve">Tabela </w:t>
      </w:r>
      <w:r w:rsidR="00B55372">
        <w:rPr>
          <w:b/>
          <w:szCs w:val="24"/>
        </w:rPr>
        <w:t>3</w:t>
      </w:r>
      <w:r w:rsidRPr="00AD2A60">
        <w:rPr>
          <w:b/>
          <w:szCs w:val="24"/>
        </w:rPr>
        <w:t xml:space="preserve">: </w:t>
      </w:r>
      <w:r w:rsidR="0064112D">
        <w:rPr>
          <w:b/>
          <w:szCs w:val="24"/>
        </w:rPr>
        <w:t>Efeitos Marginais dos Obstáculos na Probabilidade de Inovar</w:t>
      </w:r>
      <w:r w:rsidR="00650970" w:rsidRPr="00AD2A60">
        <w:rPr>
          <w:b/>
          <w:szCs w:val="24"/>
        </w:rPr>
        <w:t xml:space="preserve"> </w:t>
      </w:r>
    </w:p>
    <w:tbl>
      <w:tblPr>
        <w:tblW w:w="5000" w:type="pct"/>
        <w:tblLook w:val="04A0" w:firstRow="1" w:lastRow="0" w:firstColumn="1" w:lastColumn="0" w:noHBand="0" w:noVBand="1"/>
      </w:tblPr>
      <w:tblGrid>
        <w:gridCol w:w="3381"/>
        <w:gridCol w:w="2573"/>
        <w:gridCol w:w="1630"/>
        <w:gridCol w:w="1630"/>
      </w:tblGrid>
      <w:tr w:rsidR="00B14A5D" w:rsidRPr="008C1927" w14:paraId="6AC3941E" w14:textId="77777777" w:rsidTr="00643373">
        <w:trPr>
          <w:trHeight w:val="270"/>
        </w:trPr>
        <w:tc>
          <w:tcPr>
            <w:tcW w:w="3381" w:type="dxa"/>
            <w:tcBorders>
              <w:top w:val="single" w:sz="4" w:space="0" w:color="auto"/>
              <w:bottom w:val="single" w:sz="4" w:space="0" w:color="auto"/>
            </w:tcBorders>
            <w:shd w:val="clear" w:color="auto" w:fill="auto"/>
            <w:vAlign w:val="center"/>
            <w:hideMark/>
          </w:tcPr>
          <w:p w14:paraId="78402489" w14:textId="77777777" w:rsidR="00B14A5D" w:rsidRPr="008C1927" w:rsidRDefault="00B14A5D" w:rsidP="00B14A5D">
            <w:pPr>
              <w:jc w:val="both"/>
              <w:rPr>
                <w:b/>
                <w:bCs/>
                <w:lang w:eastAsia="en-US"/>
              </w:rPr>
            </w:pPr>
          </w:p>
        </w:tc>
        <w:tc>
          <w:tcPr>
            <w:tcW w:w="2573" w:type="dxa"/>
            <w:tcBorders>
              <w:top w:val="single" w:sz="4" w:space="0" w:color="auto"/>
              <w:bottom w:val="single" w:sz="4" w:space="0" w:color="auto"/>
            </w:tcBorders>
            <w:vAlign w:val="center"/>
          </w:tcPr>
          <w:p w14:paraId="4FC6A5DD" w14:textId="3DD5900F" w:rsidR="00B14A5D" w:rsidRPr="008C1927" w:rsidRDefault="00B14A5D" w:rsidP="008C1927">
            <w:pPr>
              <w:spacing w:before="60" w:after="60"/>
              <w:jc w:val="center"/>
              <w:rPr>
                <w:b/>
                <w:bCs/>
                <w:sz w:val="18"/>
                <w:szCs w:val="18"/>
                <w:lang w:eastAsia="en-US"/>
              </w:rPr>
            </w:pPr>
            <w:r w:rsidRPr="008C1927">
              <w:rPr>
                <w:b/>
                <w:bCs/>
                <w:sz w:val="18"/>
                <w:szCs w:val="18"/>
                <w:lang w:eastAsia="en-US"/>
              </w:rPr>
              <w:t>Inovação</w:t>
            </w:r>
            <w:r w:rsidR="00172C6D">
              <w:rPr>
                <w:b/>
                <w:bCs/>
                <w:sz w:val="18"/>
                <w:szCs w:val="18"/>
                <w:lang w:eastAsia="en-US"/>
              </w:rPr>
              <w:t xml:space="preserve"> </w:t>
            </w:r>
            <w:r w:rsidR="00643373">
              <w:rPr>
                <w:b/>
                <w:bCs/>
                <w:sz w:val="18"/>
                <w:szCs w:val="18"/>
                <w:lang w:eastAsia="en-US"/>
              </w:rPr>
              <w:t xml:space="preserve">                          (</w:t>
            </w:r>
            <w:r w:rsidR="00172C6D">
              <w:rPr>
                <w:b/>
                <w:bCs/>
                <w:sz w:val="18"/>
                <w:szCs w:val="18"/>
                <w:lang w:eastAsia="en-US"/>
              </w:rPr>
              <w:t>de Produto ou Processo</w:t>
            </w:r>
            <w:r w:rsidR="00643373">
              <w:rPr>
                <w:b/>
                <w:bCs/>
                <w:sz w:val="18"/>
                <w:szCs w:val="18"/>
                <w:lang w:eastAsia="en-US"/>
              </w:rPr>
              <w:t>)</w:t>
            </w:r>
          </w:p>
        </w:tc>
        <w:tc>
          <w:tcPr>
            <w:tcW w:w="1630" w:type="dxa"/>
            <w:tcBorders>
              <w:top w:val="single" w:sz="4" w:space="0" w:color="auto"/>
              <w:bottom w:val="single" w:sz="4" w:space="0" w:color="auto"/>
            </w:tcBorders>
            <w:shd w:val="clear" w:color="auto" w:fill="auto"/>
            <w:vAlign w:val="center"/>
            <w:hideMark/>
          </w:tcPr>
          <w:p w14:paraId="12D5E023" w14:textId="77777777" w:rsidR="00B14A5D" w:rsidRPr="008C1927" w:rsidRDefault="00B14A5D" w:rsidP="008C1927">
            <w:pPr>
              <w:spacing w:before="60" w:after="60"/>
              <w:jc w:val="center"/>
              <w:rPr>
                <w:b/>
                <w:bCs/>
                <w:sz w:val="18"/>
                <w:szCs w:val="18"/>
                <w:lang w:eastAsia="en-US"/>
              </w:rPr>
            </w:pPr>
            <w:r w:rsidRPr="008C1927">
              <w:rPr>
                <w:b/>
                <w:bCs/>
                <w:sz w:val="18"/>
                <w:szCs w:val="18"/>
                <w:lang w:eastAsia="en-US"/>
              </w:rPr>
              <w:t>Inovação de Produto</w:t>
            </w:r>
          </w:p>
        </w:tc>
        <w:tc>
          <w:tcPr>
            <w:tcW w:w="1630" w:type="dxa"/>
            <w:tcBorders>
              <w:top w:val="single" w:sz="4" w:space="0" w:color="auto"/>
              <w:bottom w:val="single" w:sz="4" w:space="0" w:color="auto"/>
            </w:tcBorders>
            <w:shd w:val="clear" w:color="auto" w:fill="auto"/>
            <w:vAlign w:val="center"/>
            <w:hideMark/>
          </w:tcPr>
          <w:p w14:paraId="320451D1" w14:textId="77777777" w:rsidR="00B14A5D" w:rsidRPr="008C1927" w:rsidRDefault="00B14A5D" w:rsidP="008C1927">
            <w:pPr>
              <w:spacing w:before="60" w:after="60"/>
              <w:jc w:val="center"/>
              <w:rPr>
                <w:b/>
                <w:bCs/>
                <w:sz w:val="18"/>
                <w:szCs w:val="18"/>
                <w:lang w:eastAsia="en-US"/>
              </w:rPr>
            </w:pPr>
            <w:r w:rsidRPr="008C1927">
              <w:rPr>
                <w:b/>
                <w:bCs/>
                <w:sz w:val="18"/>
                <w:szCs w:val="18"/>
                <w:lang w:eastAsia="en-US"/>
              </w:rPr>
              <w:t>Inovação de Processo</w:t>
            </w:r>
          </w:p>
        </w:tc>
      </w:tr>
      <w:tr w:rsidR="00B14A5D" w:rsidRPr="008C1927" w14:paraId="575A8826" w14:textId="77777777" w:rsidTr="00643373">
        <w:trPr>
          <w:trHeight w:val="255"/>
        </w:trPr>
        <w:tc>
          <w:tcPr>
            <w:tcW w:w="3381" w:type="dxa"/>
            <w:vMerge w:val="restart"/>
            <w:tcBorders>
              <w:top w:val="single" w:sz="4" w:space="0" w:color="auto"/>
            </w:tcBorders>
            <w:shd w:val="clear" w:color="auto" w:fill="auto"/>
            <w:vAlign w:val="center"/>
            <w:hideMark/>
          </w:tcPr>
          <w:p w14:paraId="6C1630E4" w14:textId="77777777" w:rsidR="00B14A5D" w:rsidRPr="008C1927" w:rsidRDefault="00B14A5D" w:rsidP="00B14A5D">
            <w:pPr>
              <w:jc w:val="both"/>
              <w:rPr>
                <w:lang w:eastAsia="en-US"/>
              </w:rPr>
            </w:pPr>
            <w:r w:rsidRPr="008C1927">
              <w:rPr>
                <w:lang w:eastAsia="en-US"/>
              </w:rPr>
              <w:t>Obstáculos Financeiros</w:t>
            </w:r>
          </w:p>
        </w:tc>
        <w:tc>
          <w:tcPr>
            <w:tcW w:w="2573" w:type="dxa"/>
            <w:tcBorders>
              <w:top w:val="single" w:sz="4" w:space="0" w:color="auto"/>
            </w:tcBorders>
            <w:vAlign w:val="center"/>
          </w:tcPr>
          <w:p w14:paraId="2A5E8D8C" w14:textId="77777777" w:rsidR="00B14A5D" w:rsidRPr="008C1927" w:rsidRDefault="001453B0" w:rsidP="008C1927">
            <w:pPr>
              <w:spacing w:before="60"/>
              <w:jc w:val="center"/>
              <w:rPr>
                <w:lang w:eastAsia="en-US"/>
              </w:rPr>
            </w:pPr>
            <w:r>
              <w:rPr>
                <w:lang w:eastAsia="en-US"/>
              </w:rPr>
              <w:t xml:space="preserve">    </w:t>
            </w:r>
            <w:r w:rsidR="00B14A5D" w:rsidRPr="008C1927">
              <w:rPr>
                <w:lang w:eastAsia="en-US"/>
              </w:rPr>
              <w:t>-0,540***</w:t>
            </w:r>
          </w:p>
        </w:tc>
        <w:tc>
          <w:tcPr>
            <w:tcW w:w="1630" w:type="dxa"/>
            <w:tcBorders>
              <w:top w:val="single" w:sz="4" w:space="0" w:color="auto"/>
            </w:tcBorders>
            <w:shd w:val="clear" w:color="auto" w:fill="auto"/>
            <w:vAlign w:val="center"/>
            <w:hideMark/>
          </w:tcPr>
          <w:p w14:paraId="0868EAEF" w14:textId="77777777" w:rsidR="00B14A5D" w:rsidRPr="008C1927" w:rsidRDefault="001453B0" w:rsidP="008C1927">
            <w:pPr>
              <w:spacing w:before="60"/>
              <w:jc w:val="center"/>
              <w:rPr>
                <w:lang w:eastAsia="en-US"/>
              </w:rPr>
            </w:pPr>
            <w:r>
              <w:rPr>
                <w:lang w:eastAsia="en-US"/>
              </w:rPr>
              <w:t xml:space="preserve">   </w:t>
            </w:r>
            <w:r w:rsidR="00B14A5D" w:rsidRPr="008C1927">
              <w:rPr>
                <w:lang w:eastAsia="en-US"/>
              </w:rPr>
              <w:t>-0,889***</w:t>
            </w:r>
          </w:p>
        </w:tc>
        <w:tc>
          <w:tcPr>
            <w:tcW w:w="1630" w:type="dxa"/>
            <w:tcBorders>
              <w:top w:val="single" w:sz="4" w:space="0" w:color="auto"/>
            </w:tcBorders>
            <w:shd w:val="clear" w:color="auto" w:fill="auto"/>
            <w:vAlign w:val="center"/>
            <w:hideMark/>
          </w:tcPr>
          <w:p w14:paraId="3C0999B5" w14:textId="77777777" w:rsidR="00B14A5D" w:rsidRPr="008C1927" w:rsidRDefault="001453B0" w:rsidP="008C1927">
            <w:pPr>
              <w:spacing w:before="60"/>
              <w:jc w:val="center"/>
              <w:rPr>
                <w:lang w:eastAsia="en-US"/>
              </w:rPr>
            </w:pPr>
            <w:r>
              <w:rPr>
                <w:lang w:eastAsia="en-US"/>
              </w:rPr>
              <w:t xml:space="preserve">   </w:t>
            </w:r>
            <w:r w:rsidR="00B14A5D" w:rsidRPr="008C1927">
              <w:rPr>
                <w:lang w:eastAsia="en-US"/>
              </w:rPr>
              <w:t>-0,543***</w:t>
            </w:r>
          </w:p>
        </w:tc>
      </w:tr>
      <w:tr w:rsidR="00B14A5D" w:rsidRPr="008C1927" w14:paraId="6DDF1DC4" w14:textId="77777777" w:rsidTr="00643373">
        <w:trPr>
          <w:trHeight w:val="255"/>
        </w:trPr>
        <w:tc>
          <w:tcPr>
            <w:tcW w:w="3381" w:type="dxa"/>
            <w:vMerge/>
            <w:shd w:val="clear" w:color="auto" w:fill="auto"/>
            <w:vAlign w:val="center"/>
            <w:hideMark/>
          </w:tcPr>
          <w:p w14:paraId="4725FA03" w14:textId="77777777" w:rsidR="00B14A5D" w:rsidRPr="008C1927" w:rsidRDefault="00B14A5D" w:rsidP="00B14A5D">
            <w:pPr>
              <w:jc w:val="both"/>
              <w:rPr>
                <w:lang w:eastAsia="en-US"/>
              </w:rPr>
            </w:pPr>
          </w:p>
        </w:tc>
        <w:tc>
          <w:tcPr>
            <w:tcW w:w="2573" w:type="dxa"/>
            <w:vAlign w:val="center"/>
          </w:tcPr>
          <w:p w14:paraId="16F527A0" w14:textId="77777777" w:rsidR="00B14A5D" w:rsidRPr="008C1927" w:rsidRDefault="001453B0" w:rsidP="008C1927">
            <w:pPr>
              <w:spacing w:after="60"/>
              <w:jc w:val="center"/>
              <w:rPr>
                <w:lang w:eastAsia="en-US"/>
              </w:rPr>
            </w:pPr>
            <w:r>
              <w:rPr>
                <w:lang w:eastAsia="en-US"/>
              </w:rPr>
              <w:t xml:space="preserve"> </w:t>
            </w:r>
            <w:r w:rsidR="00B14A5D" w:rsidRPr="008C1927">
              <w:rPr>
                <w:lang w:eastAsia="en-US"/>
              </w:rPr>
              <w:t>(0,092)</w:t>
            </w:r>
          </w:p>
        </w:tc>
        <w:tc>
          <w:tcPr>
            <w:tcW w:w="1630" w:type="dxa"/>
            <w:shd w:val="clear" w:color="auto" w:fill="auto"/>
            <w:vAlign w:val="center"/>
            <w:hideMark/>
          </w:tcPr>
          <w:p w14:paraId="55FDD321" w14:textId="77777777" w:rsidR="00B14A5D" w:rsidRPr="008C1927" w:rsidRDefault="00B14A5D" w:rsidP="008C1927">
            <w:pPr>
              <w:spacing w:after="60"/>
              <w:jc w:val="center"/>
              <w:rPr>
                <w:lang w:eastAsia="en-US"/>
              </w:rPr>
            </w:pPr>
            <w:r w:rsidRPr="008C1927">
              <w:rPr>
                <w:lang w:eastAsia="en-US"/>
              </w:rPr>
              <w:t>(0,146)</w:t>
            </w:r>
          </w:p>
        </w:tc>
        <w:tc>
          <w:tcPr>
            <w:tcW w:w="1630" w:type="dxa"/>
            <w:shd w:val="clear" w:color="auto" w:fill="auto"/>
            <w:vAlign w:val="center"/>
            <w:hideMark/>
          </w:tcPr>
          <w:p w14:paraId="05998710" w14:textId="77777777" w:rsidR="00B14A5D" w:rsidRPr="008C1927" w:rsidRDefault="00B14A5D" w:rsidP="008C1927">
            <w:pPr>
              <w:spacing w:after="60"/>
              <w:jc w:val="center"/>
              <w:rPr>
                <w:lang w:eastAsia="en-US"/>
              </w:rPr>
            </w:pPr>
            <w:r w:rsidRPr="008C1927">
              <w:rPr>
                <w:lang w:eastAsia="en-US"/>
              </w:rPr>
              <w:t>(0,125)</w:t>
            </w:r>
          </w:p>
        </w:tc>
      </w:tr>
      <w:tr w:rsidR="00B14A5D" w:rsidRPr="008C1927" w14:paraId="506E78DB" w14:textId="77777777" w:rsidTr="00643373">
        <w:trPr>
          <w:trHeight w:val="255"/>
        </w:trPr>
        <w:tc>
          <w:tcPr>
            <w:tcW w:w="3381" w:type="dxa"/>
            <w:vMerge w:val="restart"/>
            <w:shd w:val="clear" w:color="auto" w:fill="auto"/>
            <w:vAlign w:val="center"/>
            <w:hideMark/>
          </w:tcPr>
          <w:p w14:paraId="2385E7CF" w14:textId="77777777" w:rsidR="00B14A5D" w:rsidRPr="008C1927" w:rsidRDefault="00B14A5D" w:rsidP="00B14A5D">
            <w:pPr>
              <w:jc w:val="both"/>
              <w:rPr>
                <w:lang w:eastAsia="en-US"/>
              </w:rPr>
            </w:pPr>
            <w:r w:rsidRPr="008C1927">
              <w:rPr>
                <w:lang w:eastAsia="en-US"/>
              </w:rPr>
              <w:t>Obstáculos de Conhecimento</w:t>
            </w:r>
          </w:p>
        </w:tc>
        <w:tc>
          <w:tcPr>
            <w:tcW w:w="2573" w:type="dxa"/>
            <w:vAlign w:val="center"/>
          </w:tcPr>
          <w:p w14:paraId="631AB090" w14:textId="77777777" w:rsidR="00B14A5D" w:rsidRPr="008C1927" w:rsidRDefault="001453B0" w:rsidP="008C1927">
            <w:pPr>
              <w:spacing w:before="60"/>
              <w:jc w:val="center"/>
              <w:rPr>
                <w:lang w:eastAsia="en-US"/>
              </w:rPr>
            </w:pPr>
            <w:r>
              <w:rPr>
                <w:lang w:eastAsia="en-US"/>
              </w:rPr>
              <w:t xml:space="preserve">    </w:t>
            </w:r>
            <w:r w:rsidR="00B14A5D" w:rsidRPr="008C1927">
              <w:rPr>
                <w:lang w:eastAsia="en-US"/>
              </w:rPr>
              <w:t>-0,458***</w:t>
            </w:r>
          </w:p>
        </w:tc>
        <w:tc>
          <w:tcPr>
            <w:tcW w:w="1630" w:type="dxa"/>
            <w:shd w:val="clear" w:color="auto" w:fill="auto"/>
            <w:vAlign w:val="center"/>
            <w:hideMark/>
          </w:tcPr>
          <w:p w14:paraId="11F45F47" w14:textId="77777777" w:rsidR="00B14A5D" w:rsidRPr="008C1927" w:rsidRDefault="001453B0" w:rsidP="008C1927">
            <w:pPr>
              <w:spacing w:before="60"/>
              <w:jc w:val="center"/>
              <w:rPr>
                <w:lang w:eastAsia="en-US"/>
              </w:rPr>
            </w:pPr>
            <w:r>
              <w:rPr>
                <w:lang w:eastAsia="en-US"/>
              </w:rPr>
              <w:t xml:space="preserve">   </w:t>
            </w:r>
            <w:r w:rsidR="00B14A5D" w:rsidRPr="008C1927">
              <w:rPr>
                <w:lang w:eastAsia="en-US"/>
              </w:rPr>
              <w:t>-1,175***</w:t>
            </w:r>
          </w:p>
        </w:tc>
        <w:tc>
          <w:tcPr>
            <w:tcW w:w="1630" w:type="dxa"/>
            <w:shd w:val="clear" w:color="auto" w:fill="auto"/>
            <w:vAlign w:val="center"/>
            <w:hideMark/>
          </w:tcPr>
          <w:p w14:paraId="66F7EDE6" w14:textId="77777777" w:rsidR="00B14A5D" w:rsidRPr="008C1927" w:rsidRDefault="001453B0" w:rsidP="008C1927">
            <w:pPr>
              <w:spacing w:before="60"/>
              <w:jc w:val="center"/>
              <w:rPr>
                <w:lang w:eastAsia="en-US"/>
              </w:rPr>
            </w:pPr>
            <w:r>
              <w:rPr>
                <w:lang w:eastAsia="en-US"/>
              </w:rPr>
              <w:t xml:space="preserve">   </w:t>
            </w:r>
            <w:r w:rsidR="00B14A5D" w:rsidRPr="008C1927">
              <w:rPr>
                <w:lang w:eastAsia="en-US"/>
              </w:rPr>
              <w:t>-0,576***</w:t>
            </w:r>
          </w:p>
        </w:tc>
      </w:tr>
      <w:tr w:rsidR="00B14A5D" w:rsidRPr="008C1927" w14:paraId="7477F152" w14:textId="77777777" w:rsidTr="00643373">
        <w:trPr>
          <w:trHeight w:val="255"/>
        </w:trPr>
        <w:tc>
          <w:tcPr>
            <w:tcW w:w="3381" w:type="dxa"/>
            <w:vMerge/>
            <w:shd w:val="clear" w:color="auto" w:fill="auto"/>
            <w:vAlign w:val="center"/>
            <w:hideMark/>
          </w:tcPr>
          <w:p w14:paraId="391F3D67" w14:textId="77777777" w:rsidR="00B14A5D" w:rsidRPr="008C1927" w:rsidRDefault="00B14A5D" w:rsidP="00B14A5D">
            <w:pPr>
              <w:jc w:val="both"/>
              <w:rPr>
                <w:lang w:eastAsia="en-US"/>
              </w:rPr>
            </w:pPr>
          </w:p>
        </w:tc>
        <w:tc>
          <w:tcPr>
            <w:tcW w:w="2573" w:type="dxa"/>
            <w:vAlign w:val="center"/>
          </w:tcPr>
          <w:p w14:paraId="7E837C12" w14:textId="77777777" w:rsidR="00B14A5D" w:rsidRPr="008C1927" w:rsidRDefault="001453B0" w:rsidP="008C1927">
            <w:pPr>
              <w:spacing w:after="60"/>
              <w:jc w:val="center"/>
              <w:rPr>
                <w:lang w:eastAsia="en-US"/>
              </w:rPr>
            </w:pPr>
            <w:r>
              <w:rPr>
                <w:lang w:eastAsia="en-US"/>
              </w:rPr>
              <w:t xml:space="preserve"> </w:t>
            </w:r>
            <w:r w:rsidR="00B14A5D" w:rsidRPr="008C1927">
              <w:rPr>
                <w:lang w:eastAsia="en-US"/>
              </w:rPr>
              <w:t>(0,134)</w:t>
            </w:r>
          </w:p>
        </w:tc>
        <w:tc>
          <w:tcPr>
            <w:tcW w:w="1630" w:type="dxa"/>
            <w:shd w:val="clear" w:color="auto" w:fill="auto"/>
            <w:vAlign w:val="center"/>
            <w:hideMark/>
          </w:tcPr>
          <w:p w14:paraId="153BAEB6" w14:textId="77777777" w:rsidR="00B14A5D" w:rsidRPr="008C1927" w:rsidRDefault="00B14A5D" w:rsidP="008C1927">
            <w:pPr>
              <w:spacing w:after="60"/>
              <w:jc w:val="center"/>
              <w:rPr>
                <w:lang w:eastAsia="en-US"/>
              </w:rPr>
            </w:pPr>
            <w:r w:rsidRPr="008C1927">
              <w:rPr>
                <w:lang w:eastAsia="en-US"/>
              </w:rPr>
              <w:t>(0,192)</w:t>
            </w:r>
          </w:p>
        </w:tc>
        <w:tc>
          <w:tcPr>
            <w:tcW w:w="1630" w:type="dxa"/>
            <w:shd w:val="clear" w:color="auto" w:fill="auto"/>
            <w:vAlign w:val="center"/>
            <w:hideMark/>
          </w:tcPr>
          <w:p w14:paraId="2DAA2C73" w14:textId="77777777" w:rsidR="00B14A5D" w:rsidRPr="008C1927" w:rsidRDefault="00B14A5D" w:rsidP="008C1927">
            <w:pPr>
              <w:spacing w:after="60"/>
              <w:jc w:val="center"/>
              <w:rPr>
                <w:lang w:eastAsia="en-US"/>
              </w:rPr>
            </w:pPr>
            <w:r w:rsidRPr="008C1927">
              <w:rPr>
                <w:lang w:eastAsia="en-US"/>
              </w:rPr>
              <w:t>(0,175)</w:t>
            </w:r>
          </w:p>
        </w:tc>
      </w:tr>
      <w:tr w:rsidR="00B14A5D" w:rsidRPr="008C1927" w14:paraId="13FFB78D" w14:textId="77777777" w:rsidTr="00643373">
        <w:trPr>
          <w:trHeight w:val="255"/>
        </w:trPr>
        <w:tc>
          <w:tcPr>
            <w:tcW w:w="3381" w:type="dxa"/>
            <w:vMerge w:val="restart"/>
            <w:shd w:val="clear" w:color="auto" w:fill="auto"/>
            <w:vAlign w:val="center"/>
            <w:hideMark/>
          </w:tcPr>
          <w:p w14:paraId="3871C3CF" w14:textId="77777777" w:rsidR="00B14A5D" w:rsidRPr="008C1927" w:rsidRDefault="00B14A5D" w:rsidP="00B14A5D">
            <w:pPr>
              <w:jc w:val="both"/>
              <w:rPr>
                <w:lang w:eastAsia="en-US"/>
              </w:rPr>
            </w:pPr>
            <w:r w:rsidRPr="008C1927">
              <w:rPr>
                <w:lang w:eastAsia="en-US"/>
              </w:rPr>
              <w:t>Obstáculos de Mercado</w:t>
            </w:r>
          </w:p>
        </w:tc>
        <w:tc>
          <w:tcPr>
            <w:tcW w:w="2573" w:type="dxa"/>
            <w:vAlign w:val="center"/>
          </w:tcPr>
          <w:p w14:paraId="7F71C120" w14:textId="77777777" w:rsidR="00B14A5D" w:rsidRPr="008C1927" w:rsidRDefault="00B14A5D" w:rsidP="008C1927">
            <w:pPr>
              <w:spacing w:before="60"/>
              <w:jc w:val="center"/>
              <w:rPr>
                <w:lang w:eastAsia="en-US"/>
              </w:rPr>
            </w:pPr>
            <w:r w:rsidRPr="008C1927">
              <w:rPr>
                <w:lang w:eastAsia="en-US"/>
              </w:rPr>
              <w:t>-0,155</w:t>
            </w:r>
          </w:p>
        </w:tc>
        <w:tc>
          <w:tcPr>
            <w:tcW w:w="1630" w:type="dxa"/>
            <w:shd w:val="clear" w:color="auto" w:fill="auto"/>
            <w:vAlign w:val="center"/>
            <w:hideMark/>
          </w:tcPr>
          <w:p w14:paraId="4A0ADC2A" w14:textId="77777777" w:rsidR="00B14A5D" w:rsidRPr="008C1927" w:rsidRDefault="00B14A5D" w:rsidP="008C1927">
            <w:pPr>
              <w:spacing w:before="60"/>
              <w:jc w:val="center"/>
              <w:rPr>
                <w:lang w:eastAsia="en-US"/>
              </w:rPr>
            </w:pPr>
            <w:r w:rsidRPr="008C1927">
              <w:rPr>
                <w:lang w:eastAsia="en-US"/>
              </w:rPr>
              <w:t>-0,585</w:t>
            </w:r>
          </w:p>
        </w:tc>
        <w:tc>
          <w:tcPr>
            <w:tcW w:w="1630" w:type="dxa"/>
            <w:shd w:val="clear" w:color="auto" w:fill="auto"/>
            <w:vAlign w:val="center"/>
            <w:hideMark/>
          </w:tcPr>
          <w:p w14:paraId="1DAD14B2" w14:textId="77777777" w:rsidR="00B14A5D" w:rsidRPr="008C1927" w:rsidRDefault="00B14A5D" w:rsidP="008C1927">
            <w:pPr>
              <w:spacing w:before="60"/>
              <w:jc w:val="center"/>
              <w:rPr>
                <w:lang w:eastAsia="en-US"/>
              </w:rPr>
            </w:pPr>
            <w:r w:rsidRPr="008C1927">
              <w:rPr>
                <w:lang w:eastAsia="en-US"/>
              </w:rPr>
              <w:t>-0,440</w:t>
            </w:r>
          </w:p>
        </w:tc>
      </w:tr>
      <w:tr w:rsidR="00B14A5D" w:rsidRPr="008C1927" w14:paraId="117F221B" w14:textId="77777777" w:rsidTr="00643373">
        <w:trPr>
          <w:trHeight w:val="255"/>
        </w:trPr>
        <w:tc>
          <w:tcPr>
            <w:tcW w:w="3381" w:type="dxa"/>
            <w:vMerge/>
            <w:shd w:val="clear" w:color="auto" w:fill="auto"/>
            <w:vAlign w:val="center"/>
            <w:hideMark/>
          </w:tcPr>
          <w:p w14:paraId="54314941" w14:textId="77777777" w:rsidR="00B14A5D" w:rsidRPr="008C1927" w:rsidRDefault="00B14A5D" w:rsidP="00B14A5D">
            <w:pPr>
              <w:jc w:val="both"/>
              <w:rPr>
                <w:lang w:eastAsia="en-US"/>
              </w:rPr>
            </w:pPr>
          </w:p>
        </w:tc>
        <w:tc>
          <w:tcPr>
            <w:tcW w:w="2573" w:type="dxa"/>
            <w:vAlign w:val="center"/>
          </w:tcPr>
          <w:p w14:paraId="01D422D3" w14:textId="77777777" w:rsidR="00B14A5D" w:rsidRPr="008C1927" w:rsidRDefault="001453B0" w:rsidP="008C1927">
            <w:pPr>
              <w:spacing w:after="60"/>
              <w:jc w:val="center"/>
              <w:rPr>
                <w:lang w:eastAsia="en-US"/>
              </w:rPr>
            </w:pPr>
            <w:r>
              <w:rPr>
                <w:lang w:eastAsia="en-US"/>
              </w:rPr>
              <w:t xml:space="preserve"> </w:t>
            </w:r>
            <w:r w:rsidR="00B14A5D" w:rsidRPr="008C1927">
              <w:rPr>
                <w:lang w:eastAsia="en-US"/>
              </w:rPr>
              <w:t>(0,268)</w:t>
            </w:r>
          </w:p>
        </w:tc>
        <w:tc>
          <w:tcPr>
            <w:tcW w:w="1630" w:type="dxa"/>
            <w:shd w:val="clear" w:color="auto" w:fill="auto"/>
            <w:vAlign w:val="center"/>
            <w:hideMark/>
          </w:tcPr>
          <w:p w14:paraId="4248B4D2" w14:textId="77777777" w:rsidR="00B14A5D" w:rsidRPr="008C1927" w:rsidRDefault="001453B0" w:rsidP="008C1927">
            <w:pPr>
              <w:spacing w:after="60"/>
              <w:jc w:val="center"/>
              <w:rPr>
                <w:lang w:eastAsia="en-US"/>
              </w:rPr>
            </w:pPr>
            <w:r>
              <w:rPr>
                <w:lang w:eastAsia="en-US"/>
              </w:rPr>
              <w:t xml:space="preserve"> </w:t>
            </w:r>
            <w:r w:rsidR="00B14A5D" w:rsidRPr="008C1927">
              <w:rPr>
                <w:lang w:eastAsia="en-US"/>
              </w:rPr>
              <w:t>(0,392)</w:t>
            </w:r>
          </w:p>
        </w:tc>
        <w:tc>
          <w:tcPr>
            <w:tcW w:w="1630" w:type="dxa"/>
            <w:shd w:val="clear" w:color="auto" w:fill="auto"/>
            <w:vAlign w:val="center"/>
            <w:hideMark/>
          </w:tcPr>
          <w:p w14:paraId="7A4DB0A8" w14:textId="77777777" w:rsidR="00B14A5D" w:rsidRPr="008C1927" w:rsidRDefault="001453B0" w:rsidP="008C1927">
            <w:pPr>
              <w:spacing w:after="60"/>
              <w:jc w:val="center"/>
              <w:rPr>
                <w:lang w:eastAsia="en-US"/>
              </w:rPr>
            </w:pPr>
            <w:r>
              <w:rPr>
                <w:lang w:eastAsia="en-US"/>
              </w:rPr>
              <w:t xml:space="preserve"> </w:t>
            </w:r>
            <w:r w:rsidR="00B14A5D" w:rsidRPr="008C1927">
              <w:rPr>
                <w:lang w:eastAsia="en-US"/>
              </w:rPr>
              <w:t>(0,373)</w:t>
            </w:r>
          </w:p>
        </w:tc>
      </w:tr>
      <w:tr w:rsidR="00B14A5D" w:rsidRPr="008C1927" w14:paraId="66411278" w14:textId="77777777" w:rsidTr="00643373">
        <w:trPr>
          <w:trHeight w:val="255"/>
        </w:trPr>
        <w:tc>
          <w:tcPr>
            <w:tcW w:w="3381" w:type="dxa"/>
            <w:vMerge w:val="restart"/>
            <w:shd w:val="clear" w:color="auto" w:fill="auto"/>
            <w:vAlign w:val="center"/>
            <w:hideMark/>
          </w:tcPr>
          <w:p w14:paraId="554C3010" w14:textId="77777777" w:rsidR="00B14A5D" w:rsidRPr="008C1927" w:rsidRDefault="00B14A5D" w:rsidP="00B14A5D">
            <w:pPr>
              <w:jc w:val="both"/>
              <w:rPr>
                <w:lang w:eastAsia="en-US"/>
              </w:rPr>
            </w:pPr>
            <w:r w:rsidRPr="008C1927">
              <w:rPr>
                <w:lang w:eastAsia="en-US"/>
              </w:rPr>
              <w:t>Obstáculos Organizacionais</w:t>
            </w:r>
          </w:p>
        </w:tc>
        <w:tc>
          <w:tcPr>
            <w:tcW w:w="2573" w:type="dxa"/>
            <w:vAlign w:val="center"/>
          </w:tcPr>
          <w:p w14:paraId="66DCAFE0" w14:textId="77777777" w:rsidR="00B14A5D" w:rsidRPr="008C1927" w:rsidRDefault="00B14A5D" w:rsidP="008C1927">
            <w:pPr>
              <w:spacing w:before="60"/>
              <w:jc w:val="center"/>
              <w:rPr>
                <w:lang w:eastAsia="en-US"/>
              </w:rPr>
            </w:pPr>
            <w:r w:rsidRPr="008C1927">
              <w:rPr>
                <w:lang w:eastAsia="en-US"/>
              </w:rPr>
              <w:t>-0,546</w:t>
            </w:r>
          </w:p>
        </w:tc>
        <w:tc>
          <w:tcPr>
            <w:tcW w:w="1630" w:type="dxa"/>
            <w:shd w:val="clear" w:color="auto" w:fill="auto"/>
            <w:vAlign w:val="center"/>
            <w:hideMark/>
          </w:tcPr>
          <w:p w14:paraId="3B540AF4" w14:textId="77777777" w:rsidR="00B14A5D" w:rsidRPr="008C1927" w:rsidRDefault="001453B0" w:rsidP="008C1927">
            <w:pPr>
              <w:spacing w:before="60"/>
              <w:jc w:val="center"/>
              <w:rPr>
                <w:lang w:eastAsia="en-US"/>
              </w:rPr>
            </w:pPr>
            <w:r>
              <w:rPr>
                <w:lang w:eastAsia="en-US"/>
              </w:rPr>
              <w:t xml:space="preserve">    </w:t>
            </w:r>
            <w:r w:rsidR="00B14A5D" w:rsidRPr="008C1927">
              <w:rPr>
                <w:lang w:eastAsia="en-US"/>
              </w:rPr>
              <w:t>-1,352***</w:t>
            </w:r>
          </w:p>
        </w:tc>
        <w:tc>
          <w:tcPr>
            <w:tcW w:w="1630" w:type="dxa"/>
            <w:shd w:val="clear" w:color="auto" w:fill="auto"/>
            <w:vAlign w:val="center"/>
            <w:hideMark/>
          </w:tcPr>
          <w:p w14:paraId="2234FFAB" w14:textId="77777777" w:rsidR="00B14A5D" w:rsidRPr="008C1927" w:rsidRDefault="00B14A5D" w:rsidP="008C1927">
            <w:pPr>
              <w:spacing w:before="60"/>
              <w:jc w:val="center"/>
              <w:rPr>
                <w:lang w:eastAsia="en-US"/>
              </w:rPr>
            </w:pPr>
            <w:r w:rsidRPr="008C1927">
              <w:rPr>
                <w:lang w:eastAsia="en-US"/>
              </w:rPr>
              <w:t>-0,280</w:t>
            </w:r>
          </w:p>
        </w:tc>
      </w:tr>
      <w:tr w:rsidR="00B14A5D" w:rsidRPr="008C1927" w14:paraId="662FD5D8" w14:textId="77777777" w:rsidTr="00643373">
        <w:trPr>
          <w:trHeight w:val="255"/>
        </w:trPr>
        <w:tc>
          <w:tcPr>
            <w:tcW w:w="3381" w:type="dxa"/>
            <w:vMerge/>
            <w:shd w:val="clear" w:color="auto" w:fill="auto"/>
            <w:vAlign w:val="center"/>
            <w:hideMark/>
          </w:tcPr>
          <w:p w14:paraId="696E6D24" w14:textId="77777777" w:rsidR="00B14A5D" w:rsidRPr="008C1927" w:rsidRDefault="00B14A5D" w:rsidP="00B14A5D">
            <w:pPr>
              <w:jc w:val="both"/>
              <w:rPr>
                <w:lang w:eastAsia="en-US"/>
              </w:rPr>
            </w:pPr>
          </w:p>
        </w:tc>
        <w:tc>
          <w:tcPr>
            <w:tcW w:w="2573" w:type="dxa"/>
            <w:vAlign w:val="center"/>
          </w:tcPr>
          <w:p w14:paraId="4C5DFF54" w14:textId="77777777" w:rsidR="00B14A5D" w:rsidRPr="008C1927" w:rsidRDefault="001453B0" w:rsidP="008C1927">
            <w:pPr>
              <w:spacing w:after="60"/>
              <w:jc w:val="center"/>
              <w:rPr>
                <w:lang w:eastAsia="en-US"/>
              </w:rPr>
            </w:pPr>
            <w:r>
              <w:rPr>
                <w:lang w:eastAsia="en-US"/>
              </w:rPr>
              <w:t xml:space="preserve"> </w:t>
            </w:r>
            <w:r w:rsidR="00B14A5D" w:rsidRPr="008C1927">
              <w:rPr>
                <w:lang w:eastAsia="en-US"/>
              </w:rPr>
              <w:t>(0,344)</w:t>
            </w:r>
          </w:p>
        </w:tc>
        <w:tc>
          <w:tcPr>
            <w:tcW w:w="1630" w:type="dxa"/>
            <w:shd w:val="clear" w:color="auto" w:fill="auto"/>
            <w:vAlign w:val="center"/>
            <w:hideMark/>
          </w:tcPr>
          <w:p w14:paraId="4D192004" w14:textId="77777777" w:rsidR="00B14A5D" w:rsidRPr="008C1927" w:rsidRDefault="001453B0" w:rsidP="008C1927">
            <w:pPr>
              <w:spacing w:after="60"/>
              <w:jc w:val="center"/>
              <w:rPr>
                <w:lang w:eastAsia="en-US"/>
              </w:rPr>
            </w:pPr>
            <w:r>
              <w:rPr>
                <w:lang w:eastAsia="en-US"/>
              </w:rPr>
              <w:t xml:space="preserve"> </w:t>
            </w:r>
            <w:r w:rsidR="00B14A5D" w:rsidRPr="008C1927">
              <w:rPr>
                <w:lang w:eastAsia="en-US"/>
              </w:rPr>
              <w:t>(0,425)</w:t>
            </w:r>
          </w:p>
        </w:tc>
        <w:tc>
          <w:tcPr>
            <w:tcW w:w="1630" w:type="dxa"/>
            <w:shd w:val="clear" w:color="auto" w:fill="auto"/>
            <w:vAlign w:val="center"/>
            <w:hideMark/>
          </w:tcPr>
          <w:p w14:paraId="57EE25E0" w14:textId="77777777" w:rsidR="00B14A5D" w:rsidRPr="008C1927" w:rsidRDefault="001453B0" w:rsidP="008C1927">
            <w:pPr>
              <w:spacing w:after="60"/>
              <w:jc w:val="center"/>
              <w:rPr>
                <w:lang w:eastAsia="en-US"/>
              </w:rPr>
            </w:pPr>
            <w:r>
              <w:rPr>
                <w:lang w:eastAsia="en-US"/>
              </w:rPr>
              <w:t xml:space="preserve"> </w:t>
            </w:r>
            <w:r w:rsidR="00B14A5D" w:rsidRPr="008C1927">
              <w:rPr>
                <w:lang w:eastAsia="en-US"/>
              </w:rPr>
              <w:t>(0,391)</w:t>
            </w:r>
          </w:p>
        </w:tc>
      </w:tr>
      <w:tr w:rsidR="00B14A5D" w:rsidRPr="008C1927" w14:paraId="37D100E0" w14:textId="77777777" w:rsidTr="00643373">
        <w:trPr>
          <w:trHeight w:val="255"/>
        </w:trPr>
        <w:tc>
          <w:tcPr>
            <w:tcW w:w="3381" w:type="dxa"/>
            <w:vMerge w:val="restart"/>
            <w:shd w:val="clear" w:color="auto" w:fill="auto"/>
            <w:vAlign w:val="center"/>
            <w:hideMark/>
          </w:tcPr>
          <w:p w14:paraId="542BA6A5" w14:textId="77777777" w:rsidR="00B14A5D" w:rsidRPr="008C1927" w:rsidRDefault="00B14A5D" w:rsidP="00B14A5D">
            <w:pPr>
              <w:jc w:val="both"/>
              <w:rPr>
                <w:lang w:eastAsia="en-US"/>
              </w:rPr>
            </w:pPr>
            <w:r w:rsidRPr="008C1927">
              <w:rPr>
                <w:lang w:eastAsia="en-US"/>
              </w:rPr>
              <w:t>Obstáculos Regulatórios</w:t>
            </w:r>
          </w:p>
        </w:tc>
        <w:tc>
          <w:tcPr>
            <w:tcW w:w="2573" w:type="dxa"/>
            <w:vAlign w:val="center"/>
          </w:tcPr>
          <w:p w14:paraId="29A4E65A" w14:textId="77777777" w:rsidR="00B14A5D" w:rsidRPr="008C1927" w:rsidRDefault="001453B0" w:rsidP="008C1927">
            <w:pPr>
              <w:spacing w:before="60"/>
              <w:jc w:val="center"/>
              <w:rPr>
                <w:lang w:eastAsia="en-US"/>
              </w:rPr>
            </w:pPr>
            <w:r>
              <w:rPr>
                <w:lang w:eastAsia="en-US"/>
              </w:rPr>
              <w:t xml:space="preserve"> </w:t>
            </w:r>
            <w:r w:rsidR="00B14A5D" w:rsidRPr="008C1927">
              <w:rPr>
                <w:lang w:eastAsia="en-US"/>
              </w:rPr>
              <w:t>0,079</w:t>
            </w:r>
          </w:p>
        </w:tc>
        <w:tc>
          <w:tcPr>
            <w:tcW w:w="1630" w:type="dxa"/>
            <w:shd w:val="clear" w:color="auto" w:fill="auto"/>
            <w:vAlign w:val="center"/>
            <w:hideMark/>
          </w:tcPr>
          <w:p w14:paraId="3625DF71" w14:textId="77777777" w:rsidR="00B14A5D" w:rsidRPr="008C1927" w:rsidRDefault="001453B0" w:rsidP="008C1927">
            <w:pPr>
              <w:spacing w:before="60"/>
              <w:jc w:val="center"/>
              <w:rPr>
                <w:lang w:eastAsia="en-US"/>
              </w:rPr>
            </w:pPr>
            <w:r>
              <w:rPr>
                <w:lang w:eastAsia="en-US"/>
              </w:rPr>
              <w:t xml:space="preserve">     </w:t>
            </w:r>
            <w:r w:rsidR="00B14A5D" w:rsidRPr="008C1927">
              <w:rPr>
                <w:lang w:eastAsia="en-US"/>
              </w:rPr>
              <w:t>1,007***</w:t>
            </w:r>
          </w:p>
        </w:tc>
        <w:tc>
          <w:tcPr>
            <w:tcW w:w="1630" w:type="dxa"/>
            <w:shd w:val="clear" w:color="auto" w:fill="auto"/>
            <w:vAlign w:val="center"/>
            <w:hideMark/>
          </w:tcPr>
          <w:p w14:paraId="65F9B63C" w14:textId="77777777" w:rsidR="00B14A5D" w:rsidRPr="008C1927" w:rsidRDefault="001453B0" w:rsidP="008C1927">
            <w:pPr>
              <w:spacing w:before="60"/>
              <w:jc w:val="center"/>
              <w:rPr>
                <w:lang w:eastAsia="en-US"/>
              </w:rPr>
            </w:pPr>
            <w:r>
              <w:rPr>
                <w:lang w:eastAsia="en-US"/>
              </w:rPr>
              <w:t xml:space="preserve">  </w:t>
            </w:r>
            <w:r w:rsidR="00B14A5D" w:rsidRPr="008C1927">
              <w:rPr>
                <w:lang w:eastAsia="en-US"/>
              </w:rPr>
              <w:t>-0,730**</w:t>
            </w:r>
          </w:p>
        </w:tc>
      </w:tr>
      <w:tr w:rsidR="00B14A5D" w:rsidRPr="008C1927" w14:paraId="41EE049D" w14:textId="77777777" w:rsidTr="00643373">
        <w:trPr>
          <w:trHeight w:val="270"/>
        </w:trPr>
        <w:tc>
          <w:tcPr>
            <w:tcW w:w="3381" w:type="dxa"/>
            <w:vMerge/>
            <w:tcBorders>
              <w:bottom w:val="single" w:sz="4" w:space="0" w:color="auto"/>
            </w:tcBorders>
            <w:shd w:val="clear" w:color="auto" w:fill="auto"/>
            <w:vAlign w:val="center"/>
            <w:hideMark/>
          </w:tcPr>
          <w:p w14:paraId="681B6C7C" w14:textId="77777777" w:rsidR="00B14A5D" w:rsidRPr="008C1927" w:rsidRDefault="00B14A5D" w:rsidP="00B14A5D">
            <w:pPr>
              <w:jc w:val="both"/>
              <w:rPr>
                <w:b/>
                <w:bCs/>
                <w:lang w:eastAsia="en-US"/>
              </w:rPr>
            </w:pPr>
          </w:p>
        </w:tc>
        <w:tc>
          <w:tcPr>
            <w:tcW w:w="2573" w:type="dxa"/>
            <w:tcBorders>
              <w:bottom w:val="single" w:sz="4" w:space="0" w:color="auto"/>
            </w:tcBorders>
            <w:vAlign w:val="center"/>
          </w:tcPr>
          <w:p w14:paraId="7F1DCC73" w14:textId="77777777" w:rsidR="00B14A5D" w:rsidRPr="008C1927" w:rsidRDefault="001453B0" w:rsidP="00D27ABE">
            <w:pPr>
              <w:spacing w:after="60"/>
              <w:jc w:val="center"/>
              <w:rPr>
                <w:lang w:eastAsia="en-US"/>
              </w:rPr>
            </w:pPr>
            <w:r>
              <w:rPr>
                <w:lang w:eastAsia="en-US"/>
              </w:rPr>
              <w:t xml:space="preserve"> </w:t>
            </w:r>
            <w:r w:rsidR="00B14A5D" w:rsidRPr="008C1927">
              <w:rPr>
                <w:lang w:eastAsia="en-US"/>
              </w:rPr>
              <w:t>(0,248)</w:t>
            </w:r>
          </w:p>
        </w:tc>
        <w:tc>
          <w:tcPr>
            <w:tcW w:w="1630" w:type="dxa"/>
            <w:tcBorders>
              <w:bottom w:val="single" w:sz="4" w:space="0" w:color="auto"/>
            </w:tcBorders>
            <w:shd w:val="clear" w:color="auto" w:fill="auto"/>
            <w:vAlign w:val="center"/>
            <w:hideMark/>
          </w:tcPr>
          <w:p w14:paraId="35395E33" w14:textId="77777777" w:rsidR="00B14A5D" w:rsidRPr="008C1927" w:rsidRDefault="001453B0" w:rsidP="008C1927">
            <w:pPr>
              <w:spacing w:after="60"/>
              <w:jc w:val="center"/>
              <w:rPr>
                <w:lang w:eastAsia="en-US"/>
              </w:rPr>
            </w:pPr>
            <w:r>
              <w:rPr>
                <w:lang w:eastAsia="en-US"/>
              </w:rPr>
              <w:t xml:space="preserve"> </w:t>
            </w:r>
            <w:r w:rsidR="00B14A5D" w:rsidRPr="008C1927">
              <w:rPr>
                <w:lang w:eastAsia="en-US"/>
              </w:rPr>
              <w:t>(0,345)</w:t>
            </w:r>
          </w:p>
        </w:tc>
        <w:tc>
          <w:tcPr>
            <w:tcW w:w="1630" w:type="dxa"/>
            <w:tcBorders>
              <w:bottom w:val="single" w:sz="4" w:space="0" w:color="auto"/>
            </w:tcBorders>
            <w:shd w:val="clear" w:color="auto" w:fill="auto"/>
            <w:vAlign w:val="center"/>
            <w:hideMark/>
          </w:tcPr>
          <w:p w14:paraId="74DF9F45" w14:textId="77777777" w:rsidR="00B14A5D" w:rsidRPr="008C1927" w:rsidRDefault="00B14A5D" w:rsidP="008C1927">
            <w:pPr>
              <w:spacing w:after="60"/>
              <w:jc w:val="center"/>
              <w:rPr>
                <w:lang w:eastAsia="en-US"/>
              </w:rPr>
            </w:pPr>
            <w:r w:rsidRPr="008C1927">
              <w:rPr>
                <w:lang w:eastAsia="en-US"/>
              </w:rPr>
              <w:t>(0,320)</w:t>
            </w:r>
          </w:p>
        </w:tc>
      </w:tr>
    </w:tbl>
    <w:p w14:paraId="6333E043" w14:textId="77777777" w:rsidR="004E146F" w:rsidRPr="00780930" w:rsidRDefault="00780930" w:rsidP="00711548">
      <w:pPr>
        <w:pStyle w:val="BNDES"/>
        <w:spacing w:before="60"/>
        <w:rPr>
          <w:rFonts w:asciiTheme="minorHAnsi" w:hAnsiTheme="minorHAnsi"/>
          <w:sz w:val="20"/>
          <w:szCs w:val="20"/>
        </w:rPr>
      </w:pPr>
      <w:r>
        <w:rPr>
          <w:sz w:val="20"/>
          <w:szCs w:val="20"/>
        </w:rPr>
        <w:t xml:space="preserve">Notas: </w:t>
      </w:r>
      <w:r w:rsidR="00C656A4" w:rsidRPr="00780930">
        <w:rPr>
          <w:sz w:val="20"/>
          <w:szCs w:val="20"/>
        </w:rPr>
        <w:t>O</w:t>
      </w:r>
      <w:r w:rsidR="004E146F" w:rsidRPr="00780930">
        <w:rPr>
          <w:sz w:val="20"/>
          <w:szCs w:val="20"/>
        </w:rPr>
        <w:t xml:space="preserve">s valores entre parênteses correspondem aos desvios-padrão </w:t>
      </w:r>
      <w:r w:rsidR="00527B10">
        <w:rPr>
          <w:sz w:val="20"/>
          <w:szCs w:val="20"/>
        </w:rPr>
        <w:t>das estimativas</w:t>
      </w:r>
      <w:r w:rsidR="004E146F" w:rsidRPr="00780930">
        <w:rPr>
          <w:sz w:val="20"/>
          <w:szCs w:val="20"/>
        </w:rPr>
        <w:t xml:space="preserve">. </w:t>
      </w:r>
      <w:r w:rsidR="00A1798F">
        <w:rPr>
          <w:sz w:val="20"/>
          <w:szCs w:val="20"/>
        </w:rPr>
        <w:t xml:space="preserve">Desvios-padrão menores indicam estimativas de impacto mais precisas. </w:t>
      </w:r>
      <w:r w:rsidR="004E456D">
        <w:rPr>
          <w:sz w:val="20"/>
          <w:szCs w:val="20"/>
        </w:rPr>
        <w:t xml:space="preserve">Estimativas sem asterisco indicam </w:t>
      </w:r>
      <w:r w:rsidR="00527B10">
        <w:rPr>
          <w:sz w:val="20"/>
          <w:szCs w:val="20"/>
        </w:rPr>
        <w:t xml:space="preserve">impactos </w:t>
      </w:r>
      <w:r w:rsidR="004E456D">
        <w:rPr>
          <w:sz w:val="20"/>
          <w:szCs w:val="20"/>
        </w:rPr>
        <w:t xml:space="preserve">tão imprecisamente estimados que não é possível distingui-los da ausência de </w:t>
      </w:r>
      <w:r w:rsidR="00527B10">
        <w:rPr>
          <w:sz w:val="20"/>
          <w:szCs w:val="20"/>
        </w:rPr>
        <w:t>efeito</w:t>
      </w:r>
      <w:r w:rsidR="004E456D">
        <w:rPr>
          <w:sz w:val="20"/>
          <w:szCs w:val="20"/>
        </w:rPr>
        <w:t>. De modo mais técnico</w:t>
      </w:r>
      <w:r w:rsidR="00982A61">
        <w:rPr>
          <w:sz w:val="20"/>
          <w:szCs w:val="20"/>
        </w:rPr>
        <w:t>, o</w:t>
      </w:r>
      <w:r w:rsidR="004E146F" w:rsidRPr="00780930">
        <w:rPr>
          <w:sz w:val="20"/>
          <w:szCs w:val="20"/>
        </w:rPr>
        <w:t xml:space="preserve">s símbolos *, ** e *** indicam significância </w:t>
      </w:r>
      <w:r w:rsidR="00271DBC">
        <w:rPr>
          <w:sz w:val="20"/>
          <w:szCs w:val="20"/>
        </w:rPr>
        <w:t xml:space="preserve">a </w:t>
      </w:r>
      <w:r w:rsidR="004E146F" w:rsidRPr="00780930">
        <w:rPr>
          <w:sz w:val="20"/>
          <w:szCs w:val="20"/>
        </w:rPr>
        <w:t>10%, 5% e 1%, respectivamente.</w:t>
      </w:r>
    </w:p>
    <w:p w14:paraId="582F5363" w14:textId="37B7A6AA" w:rsidR="00B834E6" w:rsidRPr="00DD5C96" w:rsidRDefault="00B834E6" w:rsidP="00946332">
      <w:pPr>
        <w:pStyle w:val="BNDES"/>
        <w:spacing w:after="240"/>
        <w:rPr>
          <w:sz w:val="20"/>
          <w:szCs w:val="20"/>
        </w:rPr>
      </w:pPr>
      <w:r w:rsidRPr="00DD5C96">
        <w:rPr>
          <w:sz w:val="20"/>
          <w:szCs w:val="20"/>
        </w:rPr>
        <w:t xml:space="preserve">Fonte: </w:t>
      </w:r>
      <w:r w:rsidR="00D27ABE" w:rsidRPr="00DD5C96">
        <w:rPr>
          <w:noProof/>
          <w:sz w:val="20"/>
          <w:szCs w:val="20"/>
        </w:rPr>
        <w:t>Cânedo-</w:t>
      </w:r>
      <w:r w:rsidR="0098399D">
        <w:rPr>
          <w:noProof/>
          <w:sz w:val="20"/>
          <w:szCs w:val="20"/>
        </w:rPr>
        <w:t>Pinheiro, Lage de Sousa &amp;</w:t>
      </w:r>
      <w:r w:rsidR="00D27ABE" w:rsidRPr="00DD5C96">
        <w:rPr>
          <w:noProof/>
          <w:sz w:val="20"/>
          <w:szCs w:val="20"/>
        </w:rPr>
        <w:t xml:space="preserve"> Oliveira (2018)</w:t>
      </w:r>
      <w:r w:rsidR="00DD5C96" w:rsidRPr="00DD5C96">
        <w:rPr>
          <w:noProof/>
          <w:sz w:val="20"/>
          <w:szCs w:val="20"/>
        </w:rPr>
        <w:t>, Tabela 18</w:t>
      </w:r>
      <w:r w:rsidR="00D27ABE" w:rsidRPr="00DD5C96">
        <w:rPr>
          <w:noProof/>
          <w:sz w:val="20"/>
          <w:szCs w:val="20"/>
        </w:rPr>
        <w:t>.</w:t>
      </w:r>
    </w:p>
    <w:p w14:paraId="2A9EF022" w14:textId="77777777" w:rsidR="007B3F60" w:rsidRDefault="007B3F60" w:rsidP="00A36AD4">
      <w:pPr>
        <w:pStyle w:val="BNDES"/>
        <w:spacing w:before="120" w:after="240"/>
        <w:rPr>
          <w:szCs w:val="24"/>
        </w:rPr>
      </w:pPr>
      <w:r>
        <w:rPr>
          <w:szCs w:val="24"/>
        </w:rPr>
        <w:br w:type="page"/>
      </w:r>
    </w:p>
    <w:p w14:paraId="2E6F02CC" w14:textId="161F7684" w:rsidR="00A36AD4" w:rsidRDefault="00A36AD4" w:rsidP="00A36AD4">
      <w:pPr>
        <w:pStyle w:val="BNDES"/>
        <w:spacing w:before="120" w:after="240"/>
        <w:rPr>
          <w:szCs w:val="24"/>
        </w:rPr>
      </w:pPr>
      <w:r>
        <w:rPr>
          <w:szCs w:val="24"/>
        </w:rPr>
        <w:t>As outras duas colunas são interpretadas de forma semelhante, mas dizem respeito ao efeito dos obstáculos na probabilidade de uma empresa realizar</w:t>
      </w:r>
      <w:r w:rsidR="006E1687">
        <w:rPr>
          <w:szCs w:val="24"/>
        </w:rPr>
        <w:t xml:space="preserve"> isoladamente </w:t>
      </w:r>
      <w:r>
        <w:rPr>
          <w:szCs w:val="24"/>
        </w:rPr>
        <w:t>uma inovação de produto ou de processo</w:t>
      </w:r>
      <w:r w:rsidR="006E1687">
        <w:rPr>
          <w:szCs w:val="24"/>
        </w:rPr>
        <w:t>, respectivamente</w:t>
      </w:r>
      <w:r>
        <w:rPr>
          <w:szCs w:val="24"/>
        </w:rPr>
        <w:t>. Nesse sentido, nota-se que o impacto dos obstáculos financeiros e de conhecimento são maiores nas inovações de produto.</w:t>
      </w:r>
    </w:p>
    <w:p w14:paraId="73CB19A8" w14:textId="18763918" w:rsidR="004D4DE1" w:rsidRDefault="004D4DE1" w:rsidP="004D4DE1">
      <w:pPr>
        <w:pStyle w:val="BNDES"/>
        <w:spacing w:before="120" w:after="240"/>
        <w:rPr>
          <w:noProof/>
          <w:szCs w:val="24"/>
        </w:rPr>
      </w:pPr>
      <w:r w:rsidRPr="002649FA">
        <w:rPr>
          <w:szCs w:val="24"/>
        </w:rPr>
        <w:t xml:space="preserve">Em suma, </w:t>
      </w:r>
      <w:r w:rsidR="00FC3F6E">
        <w:rPr>
          <w:szCs w:val="24"/>
        </w:rPr>
        <w:t xml:space="preserve">uma vez presentes, obstáculos financeiros e de conhecimento têm praticamente o mesmo impacto na propensão a inovar das empresas brasileiras. </w:t>
      </w:r>
      <w:r w:rsidRPr="002649FA">
        <w:rPr>
          <w:szCs w:val="24"/>
        </w:rPr>
        <w:t xml:space="preserve">Esse resultado foi corroborado </w:t>
      </w:r>
      <w:r w:rsidR="00FC3F6E">
        <w:rPr>
          <w:szCs w:val="24"/>
        </w:rPr>
        <w:t>pela</w:t>
      </w:r>
      <w:r w:rsidRPr="002649FA">
        <w:rPr>
          <w:szCs w:val="24"/>
        </w:rPr>
        <w:t xml:space="preserve"> pesquisa qualitativa feita no âmbito do projeto</w:t>
      </w:r>
      <w:r w:rsidR="00FC3F6E">
        <w:rPr>
          <w:szCs w:val="24"/>
        </w:rPr>
        <w:t xml:space="preserve">. Para mais detalhes a este respeito </w:t>
      </w:r>
      <w:r w:rsidRPr="002649FA">
        <w:rPr>
          <w:szCs w:val="24"/>
        </w:rPr>
        <w:t xml:space="preserve">ver </w:t>
      </w:r>
      <w:r w:rsidRPr="002649FA">
        <w:rPr>
          <w:noProof/>
          <w:szCs w:val="24"/>
        </w:rPr>
        <w:t xml:space="preserve">Cabral, </w:t>
      </w:r>
      <w:r w:rsidR="00172C6D">
        <w:rPr>
          <w:noProof/>
          <w:szCs w:val="24"/>
        </w:rPr>
        <w:t xml:space="preserve">Lage de </w:t>
      </w:r>
      <w:r w:rsidRPr="002649FA">
        <w:rPr>
          <w:noProof/>
          <w:szCs w:val="24"/>
        </w:rPr>
        <w:t xml:space="preserve">Sousa </w:t>
      </w:r>
      <w:r>
        <w:rPr>
          <w:noProof/>
          <w:szCs w:val="24"/>
        </w:rPr>
        <w:t xml:space="preserve">&amp; </w:t>
      </w:r>
      <w:r w:rsidRPr="002649FA">
        <w:rPr>
          <w:noProof/>
          <w:szCs w:val="24"/>
        </w:rPr>
        <w:t xml:space="preserve">Canêdo-Pinheiro </w:t>
      </w:r>
      <w:r>
        <w:rPr>
          <w:noProof/>
          <w:szCs w:val="24"/>
        </w:rPr>
        <w:t>(</w:t>
      </w:r>
      <w:r w:rsidRPr="002649FA">
        <w:rPr>
          <w:noProof/>
          <w:szCs w:val="24"/>
        </w:rPr>
        <w:t>20</w:t>
      </w:r>
      <w:r>
        <w:rPr>
          <w:noProof/>
          <w:szCs w:val="24"/>
        </w:rPr>
        <w:t>20).</w:t>
      </w:r>
    </w:p>
    <w:p w14:paraId="51A44228" w14:textId="77777777" w:rsidR="00A15F29" w:rsidRDefault="00967632" w:rsidP="004D4DE1">
      <w:pPr>
        <w:pStyle w:val="BNDES"/>
        <w:spacing w:before="120" w:after="240"/>
        <w:rPr>
          <w:noProof/>
          <w:szCs w:val="24"/>
        </w:rPr>
      </w:pPr>
      <w:r>
        <w:rPr>
          <w:noProof/>
          <w:szCs w:val="24"/>
        </w:rPr>
        <w:t xml:space="preserve">O impacto </w:t>
      </w:r>
      <w:r w:rsidR="00BC6F33">
        <w:rPr>
          <w:noProof/>
          <w:szCs w:val="24"/>
        </w:rPr>
        <w:t xml:space="preserve">estimado </w:t>
      </w:r>
      <w:r>
        <w:rPr>
          <w:noProof/>
          <w:szCs w:val="24"/>
        </w:rPr>
        <w:t xml:space="preserve">das barreiras financeiras </w:t>
      </w:r>
      <w:r w:rsidR="00F20A1B">
        <w:rPr>
          <w:noProof/>
          <w:szCs w:val="24"/>
        </w:rPr>
        <w:t xml:space="preserve">no Brasil </w:t>
      </w:r>
      <w:r>
        <w:rPr>
          <w:noProof/>
          <w:szCs w:val="24"/>
        </w:rPr>
        <w:t xml:space="preserve">é </w:t>
      </w:r>
      <w:r w:rsidR="00F20A1B">
        <w:rPr>
          <w:noProof/>
          <w:szCs w:val="24"/>
        </w:rPr>
        <w:t xml:space="preserve">um pouco maior, porém </w:t>
      </w:r>
      <w:r>
        <w:rPr>
          <w:noProof/>
          <w:szCs w:val="24"/>
        </w:rPr>
        <w:t>comparável ao encontrado, por exemplo, para empresas do Reino Unido [</w:t>
      </w:r>
      <w:r w:rsidRPr="0088675E">
        <w:rPr>
          <w:noProof/>
          <w:szCs w:val="24"/>
        </w:rPr>
        <w:t>Pellegrino &amp; Savona (2017)</w:t>
      </w:r>
      <w:r>
        <w:rPr>
          <w:noProof/>
          <w:szCs w:val="24"/>
        </w:rPr>
        <w:t xml:space="preserve">]. No entanto, o </w:t>
      </w:r>
      <w:r w:rsidR="00304EB6">
        <w:rPr>
          <w:noProof/>
          <w:szCs w:val="24"/>
        </w:rPr>
        <w:t xml:space="preserve">efeito </w:t>
      </w:r>
      <w:r>
        <w:rPr>
          <w:noProof/>
          <w:szCs w:val="24"/>
        </w:rPr>
        <w:t xml:space="preserve">das barreiras de conhecimento é bastante maior no Brasil, </w:t>
      </w:r>
      <w:r w:rsidR="00CB1021">
        <w:rPr>
          <w:noProof/>
          <w:szCs w:val="24"/>
        </w:rPr>
        <w:t xml:space="preserve">o que pode indicar que esse tipo de </w:t>
      </w:r>
      <w:r w:rsidR="00F069F3">
        <w:rPr>
          <w:noProof/>
          <w:szCs w:val="24"/>
        </w:rPr>
        <w:t xml:space="preserve">obstáculo </w:t>
      </w:r>
      <w:r w:rsidR="00CB1021">
        <w:rPr>
          <w:noProof/>
          <w:szCs w:val="24"/>
        </w:rPr>
        <w:t xml:space="preserve">é mais relevante </w:t>
      </w:r>
      <w:r w:rsidR="00BC6F33">
        <w:rPr>
          <w:noProof/>
          <w:szCs w:val="24"/>
        </w:rPr>
        <w:t>para empresas de</w:t>
      </w:r>
      <w:r w:rsidR="00CB1021">
        <w:rPr>
          <w:noProof/>
          <w:szCs w:val="24"/>
        </w:rPr>
        <w:t xml:space="preserve"> países em desenvolvimento.</w:t>
      </w:r>
      <w:r w:rsidR="00CB1021">
        <w:rPr>
          <w:rStyle w:val="Refdenotaderodap"/>
          <w:noProof/>
          <w:szCs w:val="24"/>
        </w:rPr>
        <w:footnoteReference w:id="6"/>
      </w:r>
      <w:r w:rsidR="00CB1021">
        <w:rPr>
          <w:noProof/>
          <w:szCs w:val="24"/>
        </w:rPr>
        <w:t xml:space="preserve"> </w:t>
      </w:r>
      <w:r w:rsidR="00F069F3">
        <w:rPr>
          <w:noProof/>
          <w:szCs w:val="24"/>
        </w:rPr>
        <w:t xml:space="preserve">Resultados de </w:t>
      </w:r>
      <w:r w:rsidR="004308BA">
        <w:rPr>
          <w:noProof/>
          <w:szCs w:val="24"/>
        </w:rPr>
        <w:t xml:space="preserve">Canales &amp; Alvarez (2017) e </w:t>
      </w:r>
      <w:r w:rsidR="00F069F3">
        <w:rPr>
          <w:noProof/>
          <w:szCs w:val="24"/>
        </w:rPr>
        <w:t xml:space="preserve">Bukstein, Hernández &amp; Usher (2019), para empresas </w:t>
      </w:r>
      <w:r w:rsidR="004308BA">
        <w:rPr>
          <w:noProof/>
          <w:szCs w:val="24"/>
        </w:rPr>
        <w:t xml:space="preserve">chilenas e </w:t>
      </w:r>
      <w:r w:rsidR="00F069F3">
        <w:rPr>
          <w:noProof/>
          <w:szCs w:val="24"/>
        </w:rPr>
        <w:t>uruguaias,</w:t>
      </w:r>
      <w:r w:rsidR="004308BA">
        <w:rPr>
          <w:noProof/>
          <w:szCs w:val="24"/>
        </w:rPr>
        <w:t xml:space="preserve"> respectivamente, confirmam este entendimento.</w:t>
      </w:r>
    </w:p>
    <w:p w14:paraId="258AE9C0" w14:textId="77777777" w:rsidR="00F7225C" w:rsidRPr="00F7225C" w:rsidRDefault="00F7225C" w:rsidP="00D13B7D">
      <w:pPr>
        <w:pStyle w:val="BNDES"/>
        <w:spacing w:before="120" w:after="240"/>
        <w:jc w:val="center"/>
        <w:rPr>
          <w:b/>
          <w:bCs/>
          <w:szCs w:val="24"/>
        </w:rPr>
      </w:pPr>
      <w:r w:rsidRPr="00F7225C">
        <w:rPr>
          <w:b/>
          <w:bCs/>
          <w:noProof/>
          <w:szCs w:val="24"/>
        </w:rPr>
        <w:t xml:space="preserve">Figura 2: </w:t>
      </w:r>
      <w:r w:rsidR="009A096B">
        <w:rPr>
          <w:b/>
          <w:bCs/>
          <w:noProof/>
          <w:szCs w:val="24"/>
        </w:rPr>
        <w:t>Porcentagem</w:t>
      </w:r>
      <w:r w:rsidRPr="00F7225C">
        <w:rPr>
          <w:b/>
          <w:bCs/>
          <w:noProof/>
          <w:szCs w:val="24"/>
        </w:rPr>
        <w:t xml:space="preserve"> </w:t>
      </w:r>
      <w:r w:rsidR="009A096B">
        <w:rPr>
          <w:b/>
          <w:bCs/>
          <w:noProof/>
          <w:szCs w:val="24"/>
        </w:rPr>
        <w:t xml:space="preserve">de </w:t>
      </w:r>
      <w:r w:rsidRPr="00F7225C">
        <w:rPr>
          <w:b/>
          <w:bCs/>
          <w:noProof/>
          <w:szCs w:val="24"/>
        </w:rPr>
        <w:t>Empresas Inovadoras</w:t>
      </w:r>
      <w:r w:rsidR="00D13B7D">
        <w:rPr>
          <w:b/>
          <w:bCs/>
          <w:noProof/>
          <w:szCs w:val="24"/>
        </w:rPr>
        <w:t xml:space="preserve"> (Valores Observados e Contrafactual)</w:t>
      </w:r>
    </w:p>
    <w:p w14:paraId="5D362FD5" w14:textId="77777777" w:rsidR="00D13B7D" w:rsidRDefault="00FF0D7A" w:rsidP="00FF0D7A">
      <w:pPr>
        <w:pStyle w:val="BNDES"/>
        <w:spacing w:before="120"/>
        <w:rPr>
          <w:szCs w:val="24"/>
        </w:rPr>
      </w:pPr>
      <w:r w:rsidRPr="00FF0D7A">
        <w:rPr>
          <w:noProof/>
        </w:rPr>
        <w:drawing>
          <wp:inline distT="0" distB="0" distL="0" distR="0" wp14:anchorId="371CB7B1" wp14:editId="63BFD4EB">
            <wp:extent cx="5850890" cy="3655060"/>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0890" cy="3655060"/>
                    </a:xfrm>
                    <a:prstGeom prst="rect">
                      <a:avLst/>
                    </a:prstGeom>
                    <a:noFill/>
                    <a:ln>
                      <a:noFill/>
                    </a:ln>
                  </pic:spPr>
                </pic:pic>
              </a:graphicData>
            </a:graphic>
          </wp:inline>
        </w:drawing>
      </w:r>
    </w:p>
    <w:p w14:paraId="02D5EA5B" w14:textId="77777777" w:rsidR="00D13B7D" w:rsidRPr="00FF0D7A" w:rsidRDefault="00D13B7D" w:rsidP="00BB0CD1">
      <w:pPr>
        <w:pStyle w:val="BNDES"/>
        <w:spacing w:before="60"/>
        <w:rPr>
          <w:sz w:val="20"/>
          <w:szCs w:val="20"/>
        </w:rPr>
      </w:pPr>
      <w:r w:rsidRPr="00FF0D7A">
        <w:rPr>
          <w:sz w:val="20"/>
          <w:szCs w:val="20"/>
        </w:rPr>
        <w:t>Notas: Somente empresas da indústria de transformação são consideradas. Valores observados extraídos da PINTEC. Contrafactual calculado a partir da estimativa de impacto dos obstáculos de conhecimento (-0,458 – ver Tabela 3) e considerando que o percentual de empresas que enfrentam escassez de mão de obra qualificada se manteve em 1,9% (valor de 2005 – ver Tabela 1) nos anos de 2008, 2011, 2014 e 2017.</w:t>
      </w:r>
    </w:p>
    <w:p w14:paraId="638C4EB8" w14:textId="77777777" w:rsidR="0053545D" w:rsidRPr="00FF0D7A" w:rsidRDefault="00D13B7D" w:rsidP="00FF0D7A">
      <w:pPr>
        <w:pStyle w:val="BNDES"/>
        <w:spacing w:after="480"/>
        <w:rPr>
          <w:sz w:val="20"/>
          <w:szCs w:val="20"/>
        </w:rPr>
      </w:pPr>
      <w:r w:rsidRPr="00FF0D7A">
        <w:rPr>
          <w:sz w:val="20"/>
          <w:szCs w:val="20"/>
        </w:rPr>
        <w:t xml:space="preserve">Fonte: </w:t>
      </w:r>
      <w:r w:rsidR="001B71D0">
        <w:rPr>
          <w:sz w:val="20"/>
          <w:szCs w:val="20"/>
        </w:rPr>
        <w:t>PINTEC</w:t>
      </w:r>
      <w:r w:rsidRPr="00FF0D7A">
        <w:rPr>
          <w:sz w:val="20"/>
          <w:szCs w:val="20"/>
        </w:rPr>
        <w:t xml:space="preserve"> e cálculos dos autores.</w:t>
      </w:r>
      <w:r w:rsidR="003632E0" w:rsidRPr="00FF0D7A">
        <w:rPr>
          <w:sz w:val="20"/>
          <w:szCs w:val="20"/>
        </w:rPr>
        <w:t xml:space="preserve"> </w:t>
      </w:r>
    </w:p>
    <w:p w14:paraId="18B4C263" w14:textId="77777777" w:rsidR="00FF0D7A" w:rsidRDefault="00FF0D7A" w:rsidP="00FF0D7A">
      <w:pPr>
        <w:pStyle w:val="BNDES"/>
        <w:spacing w:before="120" w:after="240"/>
        <w:rPr>
          <w:noProof/>
          <w:szCs w:val="24"/>
        </w:rPr>
      </w:pPr>
      <w:r>
        <w:rPr>
          <w:noProof/>
          <w:szCs w:val="24"/>
        </w:rPr>
        <w:t xml:space="preserve">Neste ponto a construção de um contrafactual se mostra bastante útil para entender o alcance dos resultados encontrados. Vamos supor que, a partir de 2005 o estoque de capital humano tivesse aumentado de modo que o percentual de empresas que enfrentam de escassez de mão de obra qualificada não tivesse se alterado, ou seja, tivesse se mantido em 1,9% do total de empresas (ver Tabela 1). A Figura 2 apresenta este contrafactual. Note que, nesse caso, a incidência de inovação nas empresas seria 0,9 ponto percentual mais alta em 2017. Esta diferença chagaria a 1,5 ponto percentual em 2011, quando a escassez de mão de obra atingiu o seu pico. </w:t>
      </w:r>
    </w:p>
    <w:p w14:paraId="69921CC4" w14:textId="77777777" w:rsidR="0014706F" w:rsidRPr="002649FA" w:rsidRDefault="00AB6191" w:rsidP="00A63FBF">
      <w:pPr>
        <w:pStyle w:val="BNDES"/>
        <w:spacing w:before="120" w:after="240"/>
        <w:rPr>
          <w:szCs w:val="24"/>
        </w:rPr>
      </w:pPr>
      <w:r w:rsidRPr="002649FA">
        <w:rPr>
          <w:b/>
          <w:szCs w:val="24"/>
        </w:rPr>
        <w:t>Conclusões</w:t>
      </w:r>
    </w:p>
    <w:p w14:paraId="25666C03" w14:textId="77777777" w:rsidR="00FB008E" w:rsidRPr="00FB008E" w:rsidRDefault="008B3306" w:rsidP="00A63FBF">
      <w:pPr>
        <w:pStyle w:val="BNDES"/>
        <w:spacing w:before="120" w:after="240"/>
        <w:rPr>
          <w:szCs w:val="24"/>
        </w:rPr>
      </w:pPr>
      <w:r w:rsidRPr="00FB008E">
        <w:rPr>
          <w:szCs w:val="24"/>
        </w:rPr>
        <w:t xml:space="preserve">Ampliar o esforço inovativo do setor privado é condição necessária para que o Brasil alcance patamares superiores de produtividade. </w:t>
      </w:r>
      <w:r w:rsidR="00FB008E" w:rsidRPr="00FB008E">
        <w:rPr>
          <w:szCs w:val="24"/>
        </w:rPr>
        <w:t>A</w:t>
      </w:r>
      <w:r w:rsidRPr="00FB008E">
        <w:rPr>
          <w:szCs w:val="24"/>
        </w:rPr>
        <w:t xml:space="preserve">o </w:t>
      </w:r>
      <w:r w:rsidR="0019761A" w:rsidRPr="00FB008E">
        <w:rPr>
          <w:szCs w:val="24"/>
        </w:rPr>
        <w:t>analisa</w:t>
      </w:r>
      <w:r w:rsidRPr="00FB008E">
        <w:rPr>
          <w:szCs w:val="24"/>
        </w:rPr>
        <w:t>r as principais barreiras que det</w:t>
      </w:r>
      <w:r w:rsidR="000F055C" w:rsidRPr="00FB008E">
        <w:rPr>
          <w:szCs w:val="24"/>
        </w:rPr>
        <w:t>ê</w:t>
      </w:r>
      <w:r w:rsidRPr="00FB008E">
        <w:rPr>
          <w:szCs w:val="24"/>
        </w:rPr>
        <w:t>m a capacidade inovadora das firmas brasileiras</w:t>
      </w:r>
      <w:r w:rsidR="00D47D10" w:rsidRPr="00FB008E">
        <w:rPr>
          <w:szCs w:val="24"/>
        </w:rPr>
        <w:t xml:space="preserve">, nota-se que duas </w:t>
      </w:r>
      <w:r w:rsidR="00FB008E" w:rsidRPr="00FB008E">
        <w:rPr>
          <w:szCs w:val="24"/>
        </w:rPr>
        <w:t xml:space="preserve">delas – financeiras e de conhecimento – </w:t>
      </w:r>
      <w:r w:rsidR="00D47D10" w:rsidRPr="00FB008E">
        <w:rPr>
          <w:szCs w:val="24"/>
        </w:rPr>
        <w:t>s</w:t>
      </w:r>
      <w:r w:rsidR="00FB008E" w:rsidRPr="00FB008E">
        <w:rPr>
          <w:szCs w:val="24"/>
        </w:rPr>
        <w:t>ão as mais relevantes do ponto de vista de seu impacto e prevalência</w:t>
      </w:r>
      <w:r w:rsidR="00D47D10" w:rsidRPr="00FB008E">
        <w:rPr>
          <w:szCs w:val="24"/>
        </w:rPr>
        <w:t xml:space="preserve">. </w:t>
      </w:r>
    </w:p>
    <w:p w14:paraId="654A7CA4" w14:textId="4E3EC114" w:rsidR="00DB6512" w:rsidRDefault="00FB008E" w:rsidP="00A63FBF">
      <w:pPr>
        <w:pStyle w:val="BNDES"/>
        <w:spacing w:before="120" w:after="240"/>
        <w:rPr>
          <w:szCs w:val="24"/>
        </w:rPr>
      </w:pPr>
      <w:r w:rsidRPr="00956627">
        <w:rPr>
          <w:szCs w:val="24"/>
        </w:rPr>
        <w:t>E</w:t>
      </w:r>
      <w:r w:rsidR="00D47D10" w:rsidRPr="00956627">
        <w:rPr>
          <w:szCs w:val="24"/>
        </w:rPr>
        <w:t>mbora o governo tenha ampliado o apoio à inovação</w:t>
      </w:r>
      <w:r w:rsidR="000833E0" w:rsidRPr="00956627">
        <w:rPr>
          <w:szCs w:val="24"/>
        </w:rPr>
        <w:t xml:space="preserve"> </w:t>
      </w:r>
      <w:r w:rsidR="00BB0CD1">
        <w:rPr>
          <w:szCs w:val="24"/>
        </w:rPr>
        <w:t>em anos recentes</w:t>
      </w:r>
      <w:r w:rsidR="00D47D10" w:rsidRPr="00956627">
        <w:rPr>
          <w:szCs w:val="24"/>
        </w:rPr>
        <w:t xml:space="preserve">, especialmente com maior disponibilidade de </w:t>
      </w:r>
      <w:r w:rsidR="000833E0" w:rsidRPr="00956627">
        <w:rPr>
          <w:szCs w:val="24"/>
        </w:rPr>
        <w:t xml:space="preserve">volume e </w:t>
      </w:r>
      <w:r w:rsidR="00D47D10" w:rsidRPr="00956627">
        <w:rPr>
          <w:szCs w:val="24"/>
        </w:rPr>
        <w:t xml:space="preserve">modalidades de financiamento, o avanço </w:t>
      </w:r>
      <w:r w:rsidR="00956627" w:rsidRPr="00956627">
        <w:rPr>
          <w:szCs w:val="24"/>
        </w:rPr>
        <w:t xml:space="preserve">da inovação entre as empresas brasileiras ficou </w:t>
      </w:r>
      <w:r w:rsidR="00DB6512">
        <w:rPr>
          <w:szCs w:val="24"/>
        </w:rPr>
        <w:t xml:space="preserve">muito </w:t>
      </w:r>
      <w:r w:rsidR="00956627" w:rsidRPr="00956627">
        <w:rPr>
          <w:szCs w:val="24"/>
        </w:rPr>
        <w:t xml:space="preserve">aquém do esperado. </w:t>
      </w:r>
      <w:r w:rsidR="00DB6512" w:rsidRPr="00DB6512">
        <w:rPr>
          <w:szCs w:val="24"/>
        </w:rPr>
        <w:t xml:space="preserve">E a evidência existente indica que </w:t>
      </w:r>
      <w:r w:rsidR="00DB6512">
        <w:rPr>
          <w:szCs w:val="24"/>
        </w:rPr>
        <w:t>a atuação do governo obteve resultados relativamente bons</w:t>
      </w:r>
      <w:r w:rsidR="00DB6512" w:rsidRPr="00DB6512">
        <w:rPr>
          <w:szCs w:val="24"/>
        </w:rPr>
        <w:t>, no sentido de que não represent</w:t>
      </w:r>
      <w:r w:rsidR="00DB6512">
        <w:rPr>
          <w:szCs w:val="24"/>
        </w:rPr>
        <w:t>ou</w:t>
      </w:r>
      <w:r w:rsidR="00DB6512" w:rsidRPr="00DB6512">
        <w:rPr>
          <w:szCs w:val="24"/>
        </w:rPr>
        <w:t xml:space="preserve"> meramente uma troca de fonte de financiamento, mas genuinamente elev</w:t>
      </w:r>
      <w:r w:rsidR="00DB6512">
        <w:rPr>
          <w:szCs w:val="24"/>
        </w:rPr>
        <w:t>ou</w:t>
      </w:r>
      <w:r w:rsidR="00DB6512" w:rsidRPr="00DB6512">
        <w:rPr>
          <w:szCs w:val="24"/>
        </w:rPr>
        <w:t xml:space="preserve"> o esforço inovativo das empresas contempladas pelas políticas</w:t>
      </w:r>
      <w:r w:rsidR="00F25A14">
        <w:rPr>
          <w:szCs w:val="24"/>
        </w:rPr>
        <w:t xml:space="preserve"> [ver Canêdo-Pinheiro &amp; Figueiredo (2017) para referências]</w:t>
      </w:r>
      <w:r w:rsidR="00DB6512" w:rsidRPr="00DB6512">
        <w:rPr>
          <w:szCs w:val="24"/>
        </w:rPr>
        <w:t>.</w:t>
      </w:r>
      <w:r w:rsidR="00DB6512">
        <w:rPr>
          <w:szCs w:val="24"/>
        </w:rPr>
        <w:t xml:space="preserve"> O que deu errado, então?</w:t>
      </w:r>
    </w:p>
    <w:p w14:paraId="759C7957" w14:textId="77777777" w:rsidR="00466CE0" w:rsidRPr="00956627" w:rsidRDefault="00956627" w:rsidP="00A63FBF">
      <w:pPr>
        <w:pStyle w:val="BNDES"/>
        <w:spacing w:before="120" w:after="240"/>
        <w:rPr>
          <w:szCs w:val="24"/>
        </w:rPr>
      </w:pPr>
      <w:r w:rsidRPr="00956627">
        <w:rPr>
          <w:szCs w:val="24"/>
        </w:rPr>
        <w:t>Os resultados descritos nesta nota indicam que parte da explicação reside nos obstáculos de conhecimento, em especial aqueles relacionados à escassez de mão de obra qualificada. Basicamente, o incremento no financiamento público para a inovação no âmbito empresarial mitigou as falhas de mercado associadas ao crédito para esta atividade, mas exacerbou a falta de pessoal qualificado para atuar nas atividades inovativas.</w:t>
      </w:r>
    </w:p>
    <w:p w14:paraId="0EE7EFAD" w14:textId="77777777" w:rsidR="00605D0D" w:rsidRDefault="006853C3" w:rsidP="00A63FBF">
      <w:pPr>
        <w:pStyle w:val="BNDES"/>
        <w:spacing w:before="120" w:after="240"/>
        <w:rPr>
          <w:szCs w:val="24"/>
        </w:rPr>
      </w:pPr>
      <w:r w:rsidRPr="00956627">
        <w:rPr>
          <w:szCs w:val="24"/>
        </w:rPr>
        <w:t xml:space="preserve">Diante do exposto, </w:t>
      </w:r>
      <w:r w:rsidR="00956627" w:rsidRPr="00956627">
        <w:rPr>
          <w:szCs w:val="24"/>
        </w:rPr>
        <w:t xml:space="preserve">convém </w:t>
      </w:r>
      <w:r w:rsidRPr="00956627">
        <w:rPr>
          <w:szCs w:val="24"/>
        </w:rPr>
        <w:t>complementar as políticas já existentes com outras, especialmente no tocante à qualificação de mão-de-obra</w:t>
      </w:r>
      <w:r w:rsidR="00587B70">
        <w:rPr>
          <w:szCs w:val="24"/>
        </w:rPr>
        <w:t>, mas também com relação à colaboração entre universidades e empresas</w:t>
      </w:r>
      <w:r w:rsidR="00956627" w:rsidRPr="00956627">
        <w:rPr>
          <w:szCs w:val="24"/>
        </w:rPr>
        <w:t xml:space="preserve">. Tal prescrição </w:t>
      </w:r>
      <w:r w:rsidR="00621754">
        <w:rPr>
          <w:szCs w:val="24"/>
        </w:rPr>
        <w:t xml:space="preserve">é </w:t>
      </w:r>
      <w:r w:rsidR="00956627" w:rsidRPr="00956627">
        <w:rPr>
          <w:szCs w:val="24"/>
        </w:rPr>
        <w:t xml:space="preserve">ainda mais relevante em um ambiente no qual as restrições de ordem fiscal tornam mais difícil </w:t>
      </w:r>
      <w:r w:rsidR="00621754">
        <w:rPr>
          <w:szCs w:val="24"/>
        </w:rPr>
        <w:t>a expansão d</w:t>
      </w:r>
      <w:r w:rsidR="00956627" w:rsidRPr="00956627">
        <w:rPr>
          <w:szCs w:val="24"/>
        </w:rPr>
        <w:t xml:space="preserve">os gastos </w:t>
      </w:r>
      <w:r w:rsidR="00621754">
        <w:rPr>
          <w:szCs w:val="24"/>
        </w:rPr>
        <w:t xml:space="preserve">públicos </w:t>
      </w:r>
      <w:r w:rsidR="00956627" w:rsidRPr="00956627">
        <w:rPr>
          <w:szCs w:val="24"/>
        </w:rPr>
        <w:t>associados às políticas de fomento à inovação.</w:t>
      </w:r>
      <w:r w:rsidR="00605D0D">
        <w:rPr>
          <w:szCs w:val="24"/>
        </w:rPr>
        <w:t xml:space="preserve"> </w:t>
      </w:r>
    </w:p>
    <w:p w14:paraId="72E27711" w14:textId="77777777" w:rsidR="00D47D10" w:rsidRDefault="00605D0D" w:rsidP="00A63FBF">
      <w:pPr>
        <w:pStyle w:val="BNDES"/>
        <w:spacing w:before="120" w:after="240"/>
        <w:rPr>
          <w:szCs w:val="24"/>
        </w:rPr>
      </w:pPr>
      <w:r>
        <w:rPr>
          <w:szCs w:val="24"/>
        </w:rPr>
        <w:t>Por fim, obviamente há outros gargalos relevantes que dificultam a inovação no âmbito das empresas brasileiras. Para uma discussão mais ampla sobre esses gargalos, remete-se o leitor para Canêdo-Pinheiro &amp; Figueiredo (2017).</w:t>
      </w:r>
    </w:p>
    <w:p w14:paraId="74FEC25B" w14:textId="77777777" w:rsidR="00950E57" w:rsidRPr="00F10026" w:rsidRDefault="007E39E4" w:rsidP="00F10026">
      <w:pPr>
        <w:pStyle w:val="BNDES"/>
        <w:spacing w:before="120" w:after="240"/>
        <w:rPr>
          <w:b/>
          <w:szCs w:val="24"/>
        </w:rPr>
      </w:pPr>
      <w:r w:rsidRPr="007E39E4">
        <w:rPr>
          <w:b/>
          <w:szCs w:val="24"/>
        </w:rPr>
        <w:t>Referências</w:t>
      </w:r>
      <w:r w:rsidR="00BB6054" w:rsidRPr="007E39E4">
        <w:rPr>
          <w:szCs w:val="24"/>
        </w:rPr>
        <w:fldChar w:fldCharType="begin" w:fldLock="1"/>
      </w:r>
      <w:r w:rsidR="00BB6054" w:rsidRPr="007E39E4">
        <w:rPr>
          <w:szCs w:val="24"/>
        </w:rPr>
        <w:instrText xml:space="preserve">ADDIN Mendeley Bibliography CSL_BIBLIOGRAPHY </w:instrText>
      </w:r>
      <w:r w:rsidR="00BB6054" w:rsidRPr="007E39E4">
        <w:rPr>
          <w:szCs w:val="24"/>
        </w:rPr>
        <w:fldChar w:fldCharType="separate"/>
      </w:r>
    </w:p>
    <w:p w14:paraId="6C730E93" w14:textId="77777777" w:rsidR="00325510" w:rsidRPr="0050231D" w:rsidRDefault="00BB6054" w:rsidP="003009D1">
      <w:pPr>
        <w:widowControl w:val="0"/>
        <w:autoSpaceDE w:val="0"/>
        <w:autoSpaceDN w:val="0"/>
        <w:adjustRightInd w:val="0"/>
        <w:spacing w:before="120" w:after="120"/>
        <w:ind w:left="482" w:hanging="482"/>
        <w:jc w:val="both"/>
        <w:rPr>
          <w:szCs w:val="24"/>
          <w:lang w:val="en-US"/>
        </w:rPr>
      </w:pPr>
      <w:r w:rsidRPr="007E39E4">
        <w:rPr>
          <w:szCs w:val="24"/>
        </w:rPr>
        <w:fldChar w:fldCharType="end"/>
      </w:r>
      <w:r w:rsidR="00325510" w:rsidRPr="00325510">
        <w:rPr>
          <w:szCs w:val="24"/>
        </w:rPr>
        <w:t xml:space="preserve">BELL, M., FIGUEIREDO, P. N. (2012). </w:t>
      </w:r>
      <w:r w:rsidR="00325510" w:rsidRPr="00325510">
        <w:rPr>
          <w:szCs w:val="24"/>
          <w:lang w:val="en-US"/>
        </w:rPr>
        <w:t xml:space="preserve">Building innovative capabilities in latecomer emerging market firms: Some key issues. In: Cantwell, J., Amann, E. (eds). </w:t>
      </w:r>
      <w:r w:rsidR="00325510" w:rsidRPr="00325510">
        <w:rPr>
          <w:i/>
          <w:iCs/>
          <w:szCs w:val="24"/>
          <w:lang w:val="en-US"/>
        </w:rPr>
        <w:t>Innovative Firms in Emerging Market Countries</w:t>
      </w:r>
      <w:r w:rsidR="0050231D">
        <w:rPr>
          <w:szCs w:val="24"/>
          <w:lang w:val="en-US"/>
        </w:rPr>
        <w:t>.</w:t>
      </w:r>
      <w:r w:rsidR="00325510" w:rsidRPr="00325510">
        <w:rPr>
          <w:szCs w:val="24"/>
          <w:lang w:val="en-US"/>
        </w:rPr>
        <w:t xml:space="preserve"> </w:t>
      </w:r>
      <w:r w:rsidR="00325510" w:rsidRPr="0050231D">
        <w:rPr>
          <w:szCs w:val="24"/>
          <w:lang w:val="en-US"/>
        </w:rPr>
        <w:t>Oxford University Press: Oxford</w:t>
      </w:r>
      <w:r w:rsidR="0050231D">
        <w:rPr>
          <w:szCs w:val="24"/>
          <w:lang w:val="en-US"/>
        </w:rPr>
        <w:t>, p. 24-109.</w:t>
      </w:r>
    </w:p>
    <w:p w14:paraId="1502FE70" w14:textId="77777777" w:rsidR="003A0088" w:rsidRDefault="003A0088" w:rsidP="003009D1">
      <w:pPr>
        <w:widowControl w:val="0"/>
        <w:autoSpaceDE w:val="0"/>
        <w:autoSpaceDN w:val="0"/>
        <w:adjustRightInd w:val="0"/>
        <w:spacing w:before="120" w:after="120"/>
        <w:ind w:left="482" w:hanging="482"/>
        <w:jc w:val="both"/>
        <w:rPr>
          <w:szCs w:val="24"/>
        </w:rPr>
      </w:pPr>
      <w:r w:rsidRPr="0050231D">
        <w:rPr>
          <w:szCs w:val="24"/>
          <w:lang w:val="en-US"/>
        </w:rPr>
        <w:t xml:space="preserve">BONELLI, R., PINHEIRO, A.C. </w:t>
      </w:r>
      <w:r w:rsidR="00325510" w:rsidRPr="0050231D">
        <w:rPr>
          <w:szCs w:val="24"/>
          <w:lang w:val="en-US"/>
        </w:rPr>
        <w:t xml:space="preserve">(2016). </w:t>
      </w:r>
      <w:r w:rsidRPr="003A0088">
        <w:rPr>
          <w:szCs w:val="24"/>
        </w:rPr>
        <w:t>Auge e declínio da indústria no Brasil. In: BONELLI, R.</w:t>
      </w:r>
      <w:r>
        <w:rPr>
          <w:szCs w:val="24"/>
        </w:rPr>
        <w:t>,</w:t>
      </w:r>
      <w:r w:rsidRPr="003A0088">
        <w:rPr>
          <w:szCs w:val="24"/>
        </w:rPr>
        <w:t xml:space="preserve"> VELOSO, F. (</w:t>
      </w:r>
      <w:r>
        <w:rPr>
          <w:szCs w:val="24"/>
        </w:rPr>
        <w:t>o</w:t>
      </w:r>
      <w:r w:rsidRPr="003A0088">
        <w:rPr>
          <w:szCs w:val="24"/>
        </w:rPr>
        <w:t xml:space="preserve">rgs.). </w:t>
      </w:r>
      <w:r w:rsidRPr="003A0088">
        <w:rPr>
          <w:i/>
          <w:iCs/>
          <w:szCs w:val="24"/>
        </w:rPr>
        <w:t>A crise de crescimento do Brasil</w:t>
      </w:r>
      <w:r w:rsidRPr="003A0088">
        <w:rPr>
          <w:szCs w:val="24"/>
        </w:rPr>
        <w:t>. Rio de Janeiro: Elsevier/FGV/IBRE, p. 193-224</w:t>
      </w:r>
      <w:r w:rsidR="00325510">
        <w:rPr>
          <w:szCs w:val="24"/>
        </w:rPr>
        <w:t>.</w:t>
      </w:r>
    </w:p>
    <w:p w14:paraId="2EE7CADB" w14:textId="77777777" w:rsidR="00F069F3" w:rsidRPr="00F069F3" w:rsidRDefault="00F069F3" w:rsidP="003009D1">
      <w:pPr>
        <w:widowControl w:val="0"/>
        <w:autoSpaceDE w:val="0"/>
        <w:autoSpaceDN w:val="0"/>
        <w:adjustRightInd w:val="0"/>
        <w:spacing w:before="120" w:after="120"/>
        <w:ind w:left="482" w:hanging="482"/>
        <w:jc w:val="both"/>
        <w:rPr>
          <w:szCs w:val="24"/>
          <w:lang w:val="en-US"/>
        </w:rPr>
      </w:pPr>
      <w:r w:rsidRPr="00F60282">
        <w:rPr>
          <w:szCs w:val="24"/>
        </w:rPr>
        <w:t xml:space="preserve">BUKSTEIN, D., HERNANDEZ, E., USHER, X. (2019). </w:t>
      </w:r>
      <w:r w:rsidRPr="00F069F3">
        <w:rPr>
          <w:szCs w:val="24"/>
          <w:lang w:val="en-US"/>
        </w:rPr>
        <w:t xml:space="preserve">Assessing the Impacts of Market Failures on Innovation Investment in Uruguay. </w:t>
      </w:r>
      <w:r w:rsidRPr="00F069F3">
        <w:rPr>
          <w:i/>
          <w:iCs/>
          <w:szCs w:val="24"/>
          <w:lang w:val="en-US"/>
        </w:rPr>
        <w:t>Journal of Technology Management &amp; Innovation</w:t>
      </w:r>
      <w:r w:rsidRPr="00F069F3">
        <w:rPr>
          <w:szCs w:val="24"/>
          <w:lang w:val="en-US"/>
        </w:rPr>
        <w:t xml:space="preserve">, </w:t>
      </w:r>
      <w:r>
        <w:rPr>
          <w:szCs w:val="24"/>
          <w:lang w:val="en-US"/>
        </w:rPr>
        <w:br w:type="textWrapping" w:clear="all"/>
      </w:r>
      <w:r w:rsidRPr="00F069F3">
        <w:rPr>
          <w:szCs w:val="24"/>
          <w:lang w:val="en-US"/>
        </w:rPr>
        <w:t>v. 14, p. 137-157</w:t>
      </w:r>
      <w:r>
        <w:rPr>
          <w:szCs w:val="24"/>
          <w:lang w:val="en-US"/>
        </w:rPr>
        <w:t>.</w:t>
      </w:r>
    </w:p>
    <w:p w14:paraId="0D5E07EE" w14:textId="15417B78" w:rsidR="00654AF7" w:rsidRPr="00643373" w:rsidRDefault="00654AF7" w:rsidP="003009D1">
      <w:pPr>
        <w:widowControl w:val="0"/>
        <w:autoSpaceDE w:val="0"/>
        <w:autoSpaceDN w:val="0"/>
        <w:adjustRightInd w:val="0"/>
        <w:spacing w:before="120" w:after="120"/>
        <w:ind w:left="482" w:hanging="482"/>
        <w:jc w:val="both"/>
        <w:rPr>
          <w:szCs w:val="24"/>
          <w:lang w:val="es-ES"/>
        </w:rPr>
      </w:pPr>
      <w:r w:rsidRPr="006E1687">
        <w:rPr>
          <w:szCs w:val="24"/>
        </w:rPr>
        <w:t xml:space="preserve">CABRAL, B.P., </w:t>
      </w:r>
      <w:r w:rsidR="00057706" w:rsidRPr="006E1687">
        <w:rPr>
          <w:szCs w:val="24"/>
        </w:rPr>
        <w:t xml:space="preserve">LAGE DE </w:t>
      </w:r>
      <w:r w:rsidRPr="006E1687">
        <w:rPr>
          <w:szCs w:val="24"/>
        </w:rPr>
        <w:t xml:space="preserve">SOUSA, F., CANÊDO-PINHEIRO, M. (2020). </w:t>
      </w:r>
      <w:r w:rsidRPr="00654AF7">
        <w:rPr>
          <w:szCs w:val="24"/>
          <w:lang w:val="en-US"/>
        </w:rPr>
        <w:t xml:space="preserve">Assessing the impacts of innovation barriers: a qualitative analysis of Brazil's natural resources industry. </w:t>
      </w:r>
      <w:r w:rsidRPr="00643373">
        <w:rPr>
          <w:i/>
          <w:iCs/>
          <w:szCs w:val="24"/>
          <w:lang w:val="es-ES"/>
        </w:rPr>
        <w:t>Resources Policy</w:t>
      </w:r>
      <w:r w:rsidRPr="00643373">
        <w:rPr>
          <w:szCs w:val="24"/>
          <w:lang w:val="es-ES"/>
        </w:rPr>
        <w:t>, v. 68, article 101736.</w:t>
      </w:r>
    </w:p>
    <w:p w14:paraId="6B62FD2A" w14:textId="77777777" w:rsidR="00921F71" w:rsidRPr="00643373" w:rsidRDefault="00921F71" w:rsidP="003009D1">
      <w:pPr>
        <w:widowControl w:val="0"/>
        <w:autoSpaceDE w:val="0"/>
        <w:autoSpaceDN w:val="0"/>
        <w:adjustRightInd w:val="0"/>
        <w:spacing w:before="120" w:after="120"/>
        <w:ind w:left="482" w:hanging="482"/>
        <w:jc w:val="both"/>
        <w:rPr>
          <w:szCs w:val="24"/>
          <w:lang w:val="en-US"/>
        </w:rPr>
      </w:pPr>
      <w:r w:rsidRPr="00921F71">
        <w:rPr>
          <w:szCs w:val="24"/>
          <w:lang w:val="es-ES"/>
        </w:rPr>
        <w:t>CANALES, M</w:t>
      </w:r>
      <w:r>
        <w:rPr>
          <w:szCs w:val="24"/>
          <w:lang w:val="es-ES"/>
        </w:rPr>
        <w:t xml:space="preserve">., </w:t>
      </w:r>
      <w:r w:rsidRPr="00921F71">
        <w:rPr>
          <w:szCs w:val="24"/>
          <w:lang w:val="es-ES"/>
        </w:rPr>
        <w:t xml:space="preserve">ALVAREZ, R. </w:t>
      </w:r>
      <w:r>
        <w:rPr>
          <w:szCs w:val="24"/>
          <w:lang w:val="es-ES"/>
        </w:rPr>
        <w:t xml:space="preserve">(2017). </w:t>
      </w:r>
      <w:r w:rsidRPr="00921F71">
        <w:rPr>
          <w:szCs w:val="24"/>
          <w:lang w:val="es-ES"/>
        </w:rPr>
        <w:t xml:space="preserve">Impacto de los obstáculos al conocimiento en la innovación de las empresas chilenas. </w:t>
      </w:r>
      <w:r w:rsidRPr="00643373">
        <w:rPr>
          <w:i/>
          <w:iCs/>
          <w:szCs w:val="24"/>
          <w:lang w:val="en-US"/>
        </w:rPr>
        <w:t>Journal of Technology Management &amp; Innovation</w:t>
      </w:r>
      <w:r w:rsidRPr="00643373">
        <w:rPr>
          <w:szCs w:val="24"/>
          <w:lang w:val="en-US"/>
        </w:rPr>
        <w:t>, v. 12, p. 78-85.</w:t>
      </w:r>
    </w:p>
    <w:p w14:paraId="4F972DF1" w14:textId="77777777" w:rsidR="00E91826" w:rsidRDefault="00E91826" w:rsidP="003009D1">
      <w:pPr>
        <w:widowControl w:val="0"/>
        <w:autoSpaceDE w:val="0"/>
        <w:autoSpaceDN w:val="0"/>
        <w:adjustRightInd w:val="0"/>
        <w:spacing w:before="120" w:after="120"/>
        <w:ind w:left="482" w:hanging="482"/>
        <w:jc w:val="both"/>
        <w:rPr>
          <w:szCs w:val="24"/>
        </w:rPr>
      </w:pPr>
      <w:r w:rsidRPr="00F60282">
        <w:rPr>
          <w:szCs w:val="24"/>
          <w:lang w:val="en-US"/>
        </w:rPr>
        <w:t xml:space="preserve">CANÊDO-PINHEIRO, M., FIGUEIREDO, P.N. (2017). </w:t>
      </w:r>
      <w:r w:rsidRPr="00E91826">
        <w:rPr>
          <w:szCs w:val="24"/>
        </w:rPr>
        <w:t xml:space="preserve">Inovação tecnológica e produtividade industrial no Brasil. In: Castelar, A.P., Bonelli, R., Veloso, F.A.A. (orgs.). </w:t>
      </w:r>
      <w:r w:rsidRPr="00E91826">
        <w:rPr>
          <w:i/>
          <w:iCs/>
          <w:szCs w:val="24"/>
        </w:rPr>
        <w:t>Anatomia da Produtividade no Brasil</w:t>
      </w:r>
      <w:r w:rsidRPr="00E91826">
        <w:rPr>
          <w:szCs w:val="24"/>
        </w:rPr>
        <w:t>. Rio de Janeiro: Elsevier, p. 211-240.</w:t>
      </w:r>
    </w:p>
    <w:p w14:paraId="75CA4FCA" w14:textId="0C2A6C76" w:rsidR="00AE5553" w:rsidRPr="00375729" w:rsidRDefault="00AE5553" w:rsidP="003009D1">
      <w:pPr>
        <w:widowControl w:val="0"/>
        <w:autoSpaceDE w:val="0"/>
        <w:autoSpaceDN w:val="0"/>
        <w:adjustRightInd w:val="0"/>
        <w:spacing w:before="120" w:after="120"/>
        <w:ind w:left="482" w:hanging="482"/>
        <w:jc w:val="both"/>
        <w:rPr>
          <w:szCs w:val="24"/>
        </w:rPr>
      </w:pPr>
      <w:r w:rsidRPr="00AE5553">
        <w:rPr>
          <w:szCs w:val="24"/>
        </w:rPr>
        <w:t xml:space="preserve">CANÊDO-PINHEIRO, M., </w:t>
      </w:r>
      <w:r w:rsidR="00057706">
        <w:rPr>
          <w:szCs w:val="24"/>
        </w:rPr>
        <w:t xml:space="preserve">LAGE DE </w:t>
      </w:r>
      <w:r w:rsidRPr="00AE5553">
        <w:rPr>
          <w:szCs w:val="24"/>
        </w:rPr>
        <w:t>SOUSA, F.</w:t>
      </w:r>
      <w:r w:rsidRPr="00643373">
        <w:rPr>
          <w:szCs w:val="24"/>
        </w:rPr>
        <w:t>, OLIVEIRA, V.B. (201</w:t>
      </w:r>
      <w:r w:rsidR="00375729" w:rsidRPr="00643373">
        <w:rPr>
          <w:szCs w:val="24"/>
        </w:rPr>
        <w:t>8</w:t>
      </w:r>
      <w:r w:rsidRPr="00643373">
        <w:rPr>
          <w:szCs w:val="24"/>
        </w:rPr>
        <w:t xml:space="preserve">). </w:t>
      </w:r>
      <w:r w:rsidRPr="00AE5553">
        <w:rPr>
          <w:szCs w:val="24"/>
          <w:lang w:val="en-US"/>
        </w:rPr>
        <w:t xml:space="preserve">Barriers to innovation in the Brazilian economy: impacts and lessons for public policy. </w:t>
      </w:r>
      <w:r w:rsidR="00375729" w:rsidRPr="00375729">
        <w:rPr>
          <w:szCs w:val="24"/>
        </w:rPr>
        <w:t xml:space="preserve">Disponível em </w:t>
      </w:r>
      <w:hyperlink r:id="rId15" w:history="1">
        <w:r w:rsidR="00375729" w:rsidRPr="00E274EC">
          <w:rPr>
            <w:rStyle w:val="Hyperlink"/>
            <w:szCs w:val="24"/>
          </w:rPr>
          <w:t>https://bibliotecadigital.fgv.br/dspace/handle/10438/29474</w:t>
        </w:r>
      </w:hyperlink>
      <w:r w:rsidR="00375729">
        <w:rPr>
          <w:szCs w:val="24"/>
        </w:rPr>
        <w:t xml:space="preserve">. </w:t>
      </w:r>
    </w:p>
    <w:p w14:paraId="6D63DF08" w14:textId="77777777" w:rsidR="00BB6054" w:rsidRPr="00F60282" w:rsidRDefault="0014698E" w:rsidP="003009D1">
      <w:pPr>
        <w:widowControl w:val="0"/>
        <w:autoSpaceDE w:val="0"/>
        <w:autoSpaceDN w:val="0"/>
        <w:adjustRightInd w:val="0"/>
        <w:spacing w:before="120" w:after="120"/>
        <w:ind w:left="482" w:hanging="482"/>
        <w:jc w:val="both"/>
        <w:rPr>
          <w:szCs w:val="24"/>
          <w:lang w:val="en-US"/>
        </w:rPr>
      </w:pPr>
      <w:r w:rsidRPr="00375729">
        <w:rPr>
          <w:szCs w:val="24"/>
        </w:rPr>
        <w:t xml:space="preserve">HALL, B. H. (2002). </w:t>
      </w:r>
      <w:r w:rsidRPr="0014698E">
        <w:rPr>
          <w:szCs w:val="24"/>
          <w:lang w:val="en-US"/>
        </w:rPr>
        <w:t xml:space="preserve">The financing of research and development. </w:t>
      </w:r>
      <w:r w:rsidRPr="00F60282">
        <w:rPr>
          <w:i/>
          <w:iCs/>
          <w:szCs w:val="24"/>
          <w:lang w:val="en-US"/>
        </w:rPr>
        <w:t>Oxford Review of Economic Policy</w:t>
      </w:r>
      <w:r w:rsidRPr="00F60282">
        <w:rPr>
          <w:szCs w:val="24"/>
          <w:lang w:val="en-US"/>
        </w:rPr>
        <w:t>, v.18 (1), p. 35-51.</w:t>
      </w:r>
    </w:p>
    <w:p w14:paraId="2B70306A" w14:textId="77777777" w:rsidR="008805A1" w:rsidRDefault="008805A1" w:rsidP="003009D1">
      <w:pPr>
        <w:widowControl w:val="0"/>
        <w:autoSpaceDE w:val="0"/>
        <w:autoSpaceDN w:val="0"/>
        <w:adjustRightInd w:val="0"/>
        <w:spacing w:before="120" w:after="120"/>
        <w:ind w:left="482" w:hanging="482"/>
        <w:jc w:val="both"/>
        <w:rPr>
          <w:szCs w:val="24"/>
          <w:lang w:val="en-US"/>
        </w:rPr>
      </w:pPr>
      <w:r w:rsidRPr="008805A1">
        <w:rPr>
          <w:szCs w:val="24"/>
          <w:lang w:val="en-US"/>
        </w:rPr>
        <w:t>KLEINKNECHT, A.; MOHNEN, P.A. (</w:t>
      </w:r>
      <w:r>
        <w:rPr>
          <w:szCs w:val="24"/>
          <w:lang w:val="en-US"/>
        </w:rPr>
        <w:t>o</w:t>
      </w:r>
      <w:r w:rsidRPr="008805A1">
        <w:rPr>
          <w:szCs w:val="24"/>
          <w:lang w:val="en-US"/>
        </w:rPr>
        <w:t>rgs.)</w:t>
      </w:r>
      <w:r>
        <w:rPr>
          <w:szCs w:val="24"/>
          <w:lang w:val="en-US"/>
        </w:rPr>
        <w:t xml:space="preserve"> (2002)</w:t>
      </w:r>
      <w:r w:rsidRPr="008805A1">
        <w:rPr>
          <w:szCs w:val="24"/>
          <w:lang w:val="en-US"/>
        </w:rPr>
        <w:t xml:space="preserve">. </w:t>
      </w:r>
      <w:r w:rsidRPr="008805A1">
        <w:rPr>
          <w:i/>
          <w:iCs/>
          <w:szCs w:val="24"/>
          <w:lang w:val="en-US"/>
        </w:rPr>
        <w:t>Innovation and firm performance: econometric explorations of survey data</w:t>
      </w:r>
      <w:r w:rsidRPr="008805A1">
        <w:rPr>
          <w:szCs w:val="24"/>
          <w:lang w:val="en-US"/>
        </w:rPr>
        <w:t>. Basingstoke: Palgrave.</w:t>
      </w:r>
    </w:p>
    <w:p w14:paraId="09FE2BC0" w14:textId="77777777" w:rsidR="003A0088" w:rsidRPr="00325510" w:rsidRDefault="003A0088" w:rsidP="003009D1">
      <w:pPr>
        <w:widowControl w:val="0"/>
        <w:autoSpaceDE w:val="0"/>
        <w:autoSpaceDN w:val="0"/>
        <w:adjustRightInd w:val="0"/>
        <w:spacing w:before="120" w:after="120"/>
        <w:ind w:left="482" w:hanging="482"/>
        <w:jc w:val="both"/>
        <w:rPr>
          <w:szCs w:val="24"/>
          <w:lang w:val="en-US"/>
        </w:rPr>
      </w:pPr>
      <w:r w:rsidRPr="003A0088">
        <w:rPr>
          <w:szCs w:val="24"/>
          <w:lang w:val="en-US"/>
        </w:rPr>
        <w:t xml:space="preserve">KRUGMAN, P. </w:t>
      </w:r>
      <w:r w:rsidR="00325510">
        <w:rPr>
          <w:szCs w:val="24"/>
          <w:lang w:val="en-US"/>
        </w:rPr>
        <w:t xml:space="preserve">(1994). </w:t>
      </w:r>
      <w:r w:rsidRPr="003A0088">
        <w:rPr>
          <w:i/>
          <w:iCs/>
          <w:szCs w:val="24"/>
          <w:lang w:val="en-US"/>
        </w:rPr>
        <w:t>The age of diminished expectations</w:t>
      </w:r>
      <w:r w:rsidRPr="003A0088">
        <w:rPr>
          <w:szCs w:val="24"/>
          <w:lang w:val="en-US"/>
        </w:rPr>
        <w:t xml:space="preserve">. </w:t>
      </w:r>
      <w:r w:rsidRPr="00325510">
        <w:rPr>
          <w:szCs w:val="24"/>
          <w:lang w:val="en-US"/>
        </w:rPr>
        <w:t>Cambridge, Londres: MIT Press.</w:t>
      </w:r>
    </w:p>
    <w:p w14:paraId="76E12509" w14:textId="77777777" w:rsidR="0014698E" w:rsidRPr="00F60282" w:rsidRDefault="0014698E" w:rsidP="003009D1">
      <w:pPr>
        <w:widowControl w:val="0"/>
        <w:autoSpaceDE w:val="0"/>
        <w:autoSpaceDN w:val="0"/>
        <w:adjustRightInd w:val="0"/>
        <w:spacing w:before="120" w:after="120"/>
        <w:ind w:left="482" w:hanging="482"/>
        <w:jc w:val="both"/>
        <w:rPr>
          <w:szCs w:val="24"/>
          <w:lang w:val="en-US"/>
        </w:rPr>
      </w:pPr>
      <w:r w:rsidRPr="0014698E">
        <w:rPr>
          <w:szCs w:val="24"/>
          <w:lang w:val="en-US"/>
        </w:rPr>
        <w:t xml:space="preserve">MOHAN, P., STROBL, E., WATSON, P. (2017). Barriers to Innovation and Firm Productivity in the Caribbean. In: Dohnert, S., Crespi, G., Maffioli, A. (ed.). </w:t>
      </w:r>
      <w:r w:rsidRPr="0014698E">
        <w:rPr>
          <w:i/>
          <w:iCs/>
          <w:szCs w:val="24"/>
          <w:lang w:val="en-US"/>
        </w:rPr>
        <w:t>Exploring firm-level innovation and productivity in developing countries: the perspective of Caribbean small states.</w:t>
      </w:r>
      <w:r w:rsidRPr="0014698E">
        <w:rPr>
          <w:szCs w:val="24"/>
          <w:lang w:val="en-US"/>
        </w:rPr>
        <w:t xml:space="preserve"> </w:t>
      </w:r>
      <w:r w:rsidRPr="00F60282">
        <w:rPr>
          <w:szCs w:val="24"/>
          <w:lang w:val="en-US"/>
        </w:rPr>
        <w:t>Washington, DC: IDB, p. 9-28.</w:t>
      </w:r>
    </w:p>
    <w:p w14:paraId="3656C4A1" w14:textId="77777777" w:rsidR="0014698E" w:rsidRPr="0014698E" w:rsidRDefault="0014698E" w:rsidP="003009D1">
      <w:pPr>
        <w:widowControl w:val="0"/>
        <w:autoSpaceDE w:val="0"/>
        <w:autoSpaceDN w:val="0"/>
        <w:adjustRightInd w:val="0"/>
        <w:spacing w:before="120" w:after="120"/>
        <w:ind w:left="482" w:hanging="482"/>
        <w:jc w:val="both"/>
        <w:rPr>
          <w:szCs w:val="24"/>
        </w:rPr>
      </w:pPr>
      <w:r w:rsidRPr="0014698E">
        <w:rPr>
          <w:szCs w:val="24"/>
          <w:lang w:val="en-US"/>
        </w:rPr>
        <w:t xml:space="preserve">PELLEGRINO, G., SAVONA, M. (2017). No money, no honey? Financial versus knowledge and demand constraints on innovation. </w:t>
      </w:r>
      <w:r w:rsidRPr="0014698E">
        <w:rPr>
          <w:i/>
          <w:iCs/>
          <w:szCs w:val="24"/>
        </w:rPr>
        <w:t>Research Policy</w:t>
      </w:r>
      <w:r w:rsidRPr="0014698E">
        <w:rPr>
          <w:szCs w:val="24"/>
        </w:rPr>
        <w:t>, v. 46, p. 510-521.</w:t>
      </w:r>
    </w:p>
    <w:sectPr w:rsidR="0014698E" w:rsidRPr="0014698E" w:rsidSect="00960DC0">
      <w:type w:val="continuous"/>
      <w:pgSz w:w="11907" w:h="16840" w:code="9"/>
      <w:pgMar w:top="1418" w:right="1417" w:bottom="1418" w:left="1276" w:header="709" w:footer="709" w:gutter="0"/>
      <w:cols w:space="708"/>
      <w:docGrid w:linePitch="360" w:charSpace="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0756" w16cex:dateUtc="2020-08-10T03:37:00Z"/>
  <w16cex:commentExtensible w16cex:durableId="22DB07F1" w16cex:dateUtc="2020-08-10T03:40:00Z"/>
  <w16cex:commentExtensible w16cex:durableId="22DB09C5" w16cex:dateUtc="2020-08-10T03:48:00Z"/>
  <w16cex:commentExtensible w16cex:durableId="22DB0BDB" w16cex:dateUtc="2020-08-10T03: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7F9F" w14:textId="77777777" w:rsidR="004C00A3" w:rsidRDefault="004C00A3" w:rsidP="00E148D8">
      <w:r>
        <w:separator/>
      </w:r>
    </w:p>
  </w:endnote>
  <w:endnote w:type="continuationSeparator" w:id="0">
    <w:p w14:paraId="19145043" w14:textId="77777777" w:rsidR="004C00A3" w:rsidRDefault="004C00A3" w:rsidP="00E148D8">
      <w:r>
        <w:continuationSeparator/>
      </w:r>
    </w:p>
  </w:endnote>
  <w:endnote w:type="continuationNotice" w:id="1">
    <w:p w14:paraId="332C14D7" w14:textId="77777777" w:rsidR="004C00A3" w:rsidRDefault="004C0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um">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333531"/>
      <w:docPartObj>
        <w:docPartGallery w:val="Page Numbers (Bottom of Page)"/>
        <w:docPartUnique/>
      </w:docPartObj>
    </w:sdtPr>
    <w:sdtEndPr/>
    <w:sdtContent>
      <w:p w14:paraId="6F2F7F3D" w14:textId="3657853F" w:rsidR="002D2C9C" w:rsidRPr="00F25AAF" w:rsidRDefault="002D2C9C">
        <w:pPr>
          <w:pStyle w:val="Rodap"/>
          <w:jc w:val="right"/>
        </w:pPr>
        <w:r w:rsidRPr="00F25AAF">
          <w:fldChar w:fldCharType="begin"/>
        </w:r>
        <w:r w:rsidRPr="00F25AAF">
          <w:instrText>PAGE   \* MERGEFORMAT</w:instrText>
        </w:r>
        <w:r w:rsidRPr="00F25AAF">
          <w:fldChar w:fldCharType="separate"/>
        </w:r>
        <w:r w:rsidR="00BF4050">
          <w:rPr>
            <w:noProof/>
          </w:rPr>
          <w:t>7</w:t>
        </w:r>
        <w:r w:rsidRPr="00F25AAF">
          <w:fldChar w:fldCharType="end"/>
        </w:r>
      </w:p>
    </w:sdtContent>
  </w:sdt>
  <w:p w14:paraId="0C312F9D" w14:textId="77777777" w:rsidR="002D2C9C" w:rsidRDefault="002D2C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EB896" w14:textId="77777777" w:rsidR="004C00A3" w:rsidRDefault="004C00A3" w:rsidP="00E148D8">
      <w:r>
        <w:separator/>
      </w:r>
    </w:p>
  </w:footnote>
  <w:footnote w:type="continuationSeparator" w:id="0">
    <w:p w14:paraId="3229E4AF" w14:textId="77777777" w:rsidR="004C00A3" w:rsidRDefault="004C00A3" w:rsidP="00E148D8">
      <w:r>
        <w:continuationSeparator/>
      </w:r>
    </w:p>
  </w:footnote>
  <w:footnote w:type="continuationNotice" w:id="1">
    <w:p w14:paraId="2F841443" w14:textId="77777777" w:rsidR="004C00A3" w:rsidRDefault="004C00A3"/>
  </w:footnote>
  <w:footnote w:id="2">
    <w:p w14:paraId="0798CBED" w14:textId="77777777" w:rsidR="007502AB" w:rsidRDefault="007502AB" w:rsidP="007502AB">
      <w:pPr>
        <w:pStyle w:val="Textodenotaderodap"/>
      </w:pPr>
      <w:r>
        <w:rPr>
          <w:rStyle w:val="Refdenotaderodap"/>
        </w:rPr>
        <w:footnoteRef/>
      </w:r>
      <w:r>
        <w:t xml:space="preserve"> Para uma discussão destes fatores ver Canêdo-Pinheiro &amp; Figueiredo (2017).</w:t>
      </w:r>
    </w:p>
  </w:footnote>
  <w:footnote w:id="3">
    <w:p w14:paraId="0BD3ED10" w14:textId="77777777" w:rsidR="002D2C9C" w:rsidRDefault="002D2C9C" w:rsidP="00F65A96">
      <w:pPr>
        <w:pStyle w:val="Textodenotaderodap"/>
        <w:jc w:val="both"/>
      </w:pPr>
      <w:r>
        <w:rPr>
          <w:rStyle w:val="Refdenotaderodap"/>
        </w:rPr>
        <w:footnoteRef/>
      </w:r>
      <w:r>
        <w:t xml:space="preserve"> Recentemente foi divulgada a edição 2015-2017 da PINTEC, mas ainda não foi possível ter acesso a esses microdados.</w:t>
      </w:r>
    </w:p>
  </w:footnote>
  <w:footnote w:id="4">
    <w:p w14:paraId="5C3A277F" w14:textId="77777777" w:rsidR="002D2C9C" w:rsidRPr="00CF5AD9" w:rsidRDefault="002D2C9C">
      <w:pPr>
        <w:pStyle w:val="Textodenotaderodap"/>
      </w:pPr>
      <w:r w:rsidRPr="00CF5AD9">
        <w:rPr>
          <w:rStyle w:val="Refdenotaderodap"/>
        </w:rPr>
        <w:footnoteRef/>
      </w:r>
      <w:r w:rsidRPr="00CF5AD9">
        <w:t xml:space="preserve"> Os termos barreiras à inovação e obstáculos à inovação serão usados indistintamente.</w:t>
      </w:r>
    </w:p>
  </w:footnote>
  <w:footnote w:id="5">
    <w:p w14:paraId="3E0A252E" w14:textId="77777777" w:rsidR="002D2C9C" w:rsidRDefault="002D2C9C" w:rsidP="002E5E32">
      <w:pPr>
        <w:pStyle w:val="Textodenotaderodap"/>
        <w:jc w:val="both"/>
      </w:pPr>
      <w:r>
        <w:rPr>
          <w:rStyle w:val="Refdenotaderodap"/>
        </w:rPr>
        <w:footnoteRef/>
      </w:r>
      <w:r>
        <w:t xml:space="preserve"> Ressalte-se que uma observação diz respeito a uma empresa em determinado período, dado que algumas empresas aparecem mais de uma vez na amostra. É possível, por exemplo, que uma empresa declare não enfrentar barreiras à inovação em um período, mas o faça em outro.</w:t>
      </w:r>
    </w:p>
  </w:footnote>
  <w:footnote w:id="6">
    <w:p w14:paraId="26411AB9" w14:textId="77777777" w:rsidR="002D2C9C" w:rsidRPr="00CB1021" w:rsidRDefault="002D2C9C" w:rsidP="00CB1021">
      <w:pPr>
        <w:pStyle w:val="BNDES"/>
        <w:spacing w:before="120" w:after="240"/>
        <w:rPr>
          <w:sz w:val="20"/>
          <w:szCs w:val="20"/>
        </w:rPr>
      </w:pPr>
      <w:r w:rsidRPr="00CB1021">
        <w:rPr>
          <w:rStyle w:val="Refdenotaderodap"/>
          <w:sz w:val="20"/>
          <w:szCs w:val="20"/>
        </w:rPr>
        <w:footnoteRef/>
      </w:r>
      <w:r w:rsidRPr="00CB1021">
        <w:rPr>
          <w:sz w:val="20"/>
          <w:szCs w:val="20"/>
        </w:rPr>
        <w:t xml:space="preserve"> </w:t>
      </w:r>
      <w:r w:rsidRPr="00CB1021">
        <w:rPr>
          <w:noProof/>
          <w:sz w:val="20"/>
          <w:szCs w:val="20"/>
        </w:rPr>
        <w:t>Além disso, esse impacto somente é detectado empiricamente quando a endogeneidade dos obstáculos é considerada</w:t>
      </w:r>
      <w:r>
        <w:rPr>
          <w:noProof/>
          <w:sz w:val="20"/>
          <w:szCs w:val="20"/>
        </w:rPr>
        <w:t xml:space="preserve">. Isso parece </w:t>
      </w:r>
      <w:r w:rsidRPr="00CB1021">
        <w:rPr>
          <w:noProof/>
          <w:sz w:val="20"/>
          <w:szCs w:val="20"/>
        </w:rPr>
        <w:t xml:space="preserve">indicar </w:t>
      </w:r>
      <w:r>
        <w:rPr>
          <w:noProof/>
          <w:sz w:val="20"/>
          <w:szCs w:val="20"/>
        </w:rPr>
        <w:t xml:space="preserve">a </w:t>
      </w:r>
      <w:r w:rsidRPr="00CB1021">
        <w:rPr>
          <w:noProof/>
          <w:sz w:val="20"/>
          <w:szCs w:val="20"/>
        </w:rPr>
        <w:t xml:space="preserve">necessidade de </w:t>
      </w:r>
      <w:r>
        <w:rPr>
          <w:noProof/>
          <w:sz w:val="20"/>
          <w:szCs w:val="20"/>
        </w:rPr>
        <w:t xml:space="preserve">se </w:t>
      </w:r>
      <w:r w:rsidRPr="00CB1021">
        <w:rPr>
          <w:noProof/>
          <w:sz w:val="20"/>
          <w:szCs w:val="20"/>
        </w:rPr>
        <w:t>levar</w:t>
      </w:r>
      <w:r>
        <w:rPr>
          <w:noProof/>
          <w:sz w:val="20"/>
          <w:szCs w:val="20"/>
        </w:rPr>
        <w:t xml:space="preserve"> em conta esta questão quando da análise dos impactos das barreiras à inovação</w:t>
      </w:r>
      <w:r w:rsidRPr="00CB1021">
        <w:rPr>
          <w:noProof/>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184"/>
    <w:multiLevelType w:val="hybridMultilevel"/>
    <w:tmpl w:val="521463C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933337"/>
    <w:multiLevelType w:val="hybridMultilevel"/>
    <w:tmpl w:val="212CE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C383A73"/>
    <w:multiLevelType w:val="hybridMultilevel"/>
    <w:tmpl w:val="31EC976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DC17729"/>
    <w:multiLevelType w:val="hybridMultilevel"/>
    <w:tmpl w:val="4B742A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BBC6C59"/>
    <w:multiLevelType w:val="hybridMultilevel"/>
    <w:tmpl w:val="0E343658"/>
    <w:lvl w:ilvl="0" w:tplc="5BD0C200">
      <w:numFmt w:val="bullet"/>
      <w:lvlText w:val="•"/>
      <w:lvlJc w:val="left"/>
      <w:pPr>
        <w:ind w:left="1065" w:hanging="70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4106A"/>
    <w:multiLevelType w:val="hybridMultilevel"/>
    <w:tmpl w:val="B0E600A8"/>
    <w:lvl w:ilvl="0" w:tplc="CAD27602">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2335D95"/>
    <w:multiLevelType w:val="hybridMultilevel"/>
    <w:tmpl w:val="D17CFF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3211709"/>
    <w:multiLevelType w:val="hybridMultilevel"/>
    <w:tmpl w:val="C6C4D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A7070C"/>
    <w:multiLevelType w:val="hybridMultilevel"/>
    <w:tmpl w:val="FC0271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78330A0"/>
    <w:multiLevelType w:val="hybridMultilevel"/>
    <w:tmpl w:val="651654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A2531BC"/>
    <w:multiLevelType w:val="hybridMultilevel"/>
    <w:tmpl w:val="3B941866"/>
    <w:lvl w:ilvl="0" w:tplc="0416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E5B27"/>
    <w:multiLevelType w:val="hybridMultilevel"/>
    <w:tmpl w:val="7CDEC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0272D"/>
    <w:multiLevelType w:val="hybridMultilevel"/>
    <w:tmpl w:val="4B1CDF16"/>
    <w:lvl w:ilvl="0" w:tplc="063445DA">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E51B7F"/>
    <w:multiLevelType w:val="hybridMultilevel"/>
    <w:tmpl w:val="9B1AD2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5671C05"/>
    <w:multiLevelType w:val="hybridMultilevel"/>
    <w:tmpl w:val="610A5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A34489C"/>
    <w:multiLevelType w:val="hybridMultilevel"/>
    <w:tmpl w:val="D6A64A56"/>
    <w:lvl w:ilvl="0" w:tplc="E00819AA">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A7D2C05"/>
    <w:multiLevelType w:val="hybridMultilevel"/>
    <w:tmpl w:val="EDC2CCA6"/>
    <w:lvl w:ilvl="0" w:tplc="0994C8C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035674"/>
    <w:multiLevelType w:val="hybridMultilevel"/>
    <w:tmpl w:val="ADB818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EA95325"/>
    <w:multiLevelType w:val="hybridMultilevel"/>
    <w:tmpl w:val="C23AD7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4B0CCF"/>
    <w:multiLevelType w:val="hybridMultilevel"/>
    <w:tmpl w:val="D6A64A56"/>
    <w:lvl w:ilvl="0" w:tplc="E00819AA">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4AD1598"/>
    <w:multiLevelType w:val="hybridMultilevel"/>
    <w:tmpl w:val="25BE30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7AC062E"/>
    <w:multiLevelType w:val="hybridMultilevel"/>
    <w:tmpl w:val="11C64F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EFC02E0"/>
    <w:multiLevelType w:val="hybridMultilevel"/>
    <w:tmpl w:val="FB50C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F567DFF"/>
    <w:multiLevelType w:val="hybridMultilevel"/>
    <w:tmpl w:val="DE6C8E7C"/>
    <w:lvl w:ilvl="0" w:tplc="0416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D18C5"/>
    <w:multiLevelType w:val="hybridMultilevel"/>
    <w:tmpl w:val="CE368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966030C"/>
    <w:multiLevelType w:val="hybridMultilevel"/>
    <w:tmpl w:val="ACE699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A1E349A"/>
    <w:multiLevelType w:val="hybridMultilevel"/>
    <w:tmpl w:val="DFCC1B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20"/>
  </w:num>
  <w:num w:numId="5">
    <w:abstractNumId w:val="21"/>
  </w:num>
  <w:num w:numId="6">
    <w:abstractNumId w:val="6"/>
  </w:num>
  <w:num w:numId="7">
    <w:abstractNumId w:val="5"/>
  </w:num>
  <w:num w:numId="8">
    <w:abstractNumId w:val="12"/>
  </w:num>
  <w:num w:numId="9">
    <w:abstractNumId w:val="14"/>
  </w:num>
  <w:num w:numId="10">
    <w:abstractNumId w:val="8"/>
  </w:num>
  <w:num w:numId="11">
    <w:abstractNumId w:val="18"/>
  </w:num>
  <w:num w:numId="12">
    <w:abstractNumId w:val="25"/>
  </w:num>
  <w:num w:numId="13">
    <w:abstractNumId w:val="24"/>
  </w:num>
  <w:num w:numId="14">
    <w:abstractNumId w:val="0"/>
  </w:num>
  <w:num w:numId="15">
    <w:abstractNumId w:val="9"/>
  </w:num>
  <w:num w:numId="16">
    <w:abstractNumId w:val="19"/>
  </w:num>
  <w:num w:numId="17">
    <w:abstractNumId w:val="15"/>
  </w:num>
  <w:num w:numId="18">
    <w:abstractNumId w:val="3"/>
  </w:num>
  <w:num w:numId="19">
    <w:abstractNumId w:val="22"/>
  </w:num>
  <w:num w:numId="20">
    <w:abstractNumId w:val="26"/>
  </w:num>
  <w:num w:numId="21">
    <w:abstractNumId w:val="13"/>
  </w:num>
  <w:num w:numId="22">
    <w:abstractNumId w:val="2"/>
  </w:num>
  <w:num w:numId="23">
    <w:abstractNumId w:val="16"/>
  </w:num>
  <w:num w:numId="24">
    <w:abstractNumId w:val="11"/>
  </w:num>
  <w:num w:numId="25">
    <w:abstractNumId w:val="10"/>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NDES"/>
  <w:drawingGridHorizontalSpacing w:val="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93"/>
    <w:rsid w:val="0000034C"/>
    <w:rsid w:val="00000D60"/>
    <w:rsid w:val="00003301"/>
    <w:rsid w:val="000049D6"/>
    <w:rsid w:val="00005521"/>
    <w:rsid w:val="00007C1C"/>
    <w:rsid w:val="000101F8"/>
    <w:rsid w:val="00011C1C"/>
    <w:rsid w:val="00012718"/>
    <w:rsid w:val="00013957"/>
    <w:rsid w:val="00014F3A"/>
    <w:rsid w:val="00015276"/>
    <w:rsid w:val="00015369"/>
    <w:rsid w:val="00016688"/>
    <w:rsid w:val="00016753"/>
    <w:rsid w:val="000200CF"/>
    <w:rsid w:val="00021C7C"/>
    <w:rsid w:val="00023177"/>
    <w:rsid w:val="000242E8"/>
    <w:rsid w:val="00024F9E"/>
    <w:rsid w:val="00025466"/>
    <w:rsid w:val="00027C61"/>
    <w:rsid w:val="000307B2"/>
    <w:rsid w:val="00031219"/>
    <w:rsid w:val="00031C43"/>
    <w:rsid w:val="00032189"/>
    <w:rsid w:val="000331B5"/>
    <w:rsid w:val="00033455"/>
    <w:rsid w:val="0003391C"/>
    <w:rsid w:val="00035E22"/>
    <w:rsid w:val="0003650E"/>
    <w:rsid w:val="000434D2"/>
    <w:rsid w:val="000439D6"/>
    <w:rsid w:val="00043B9C"/>
    <w:rsid w:val="00044D0B"/>
    <w:rsid w:val="000451A0"/>
    <w:rsid w:val="00046201"/>
    <w:rsid w:val="000464BC"/>
    <w:rsid w:val="00046876"/>
    <w:rsid w:val="00046E65"/>
    <w:rsid w:val="00050039"/>
    <w:rsid w:val="0005194F"/>
    <w:rsid w:val="00051DC7"/>
    <w:rsid w:val="000554D3"/>
    <w:rsid w:val="000555D7"/>
    <w:rsid w:val="00056458"/>
    <w:rsid w:val="000565F8"/>
    <w:rsid w:val="00056966"/>
    <w:rsid w:val="00057706"/>
    <w:rsid w:val="00060D31"/>
    <w:rsid w:val="00063347"/>
    <w:rsid w:val="000637D9"/>
    <w:rsid w:val="0006510A"/>
    <w:rsid w:val="0006519F"/>
    <w:rsid w:val="00065562"/>
    <w:rsid w:val="00065D9B"/>
    <w:rsid w:val="000660F6"/>
    <w:rsid w:val="00066155"/>
    <w:rsid w:val="00066491"/>
    <w:rsid w:val="00066BAC"/>
    <w:rsid w:val="0007027D"/>
    <w:rsid w:val="00072B31"/>
    <w:rsid w:val="00076E6A"/>
    <w:rsid w:val="00077B24"/>
    <w:rsid w:val="00080999"/>
    <w:rsid w:val="00082282"/>
    <w:rsid w:val="000826FB"/>
    <w:rsid w:val="00082D46"/>
    <w:rsid w:val="000833E0"/>
    <w:rsid w:val="0008395E"/>
    <w:rsid w:val="00083B24"/>
    <w:rsid w:val="000844A7"/>
    <w:rsid w:val="00084EFF"/>
    <w:rsid w:val="00085E03"/>
    <w:rsid w:val="0008656F"/>
    <w:rsid w:val="00093A32"/>
    <w:rsid w:val="00094301"/>
    <w:rsid w:val="00095D39"/>
    <w:rsid w:val="000A019F"/>
    <w:rsid w:val="000A3269"/>
    <w:rsid w:val="000B21B4"/>
    <w:rsid w:val="000B337D"/>
    <w:rsid w:val="000B35CC"/>
    <w:rsid w:val="000B38B1"/>
    <w:rsid w:val="000B3EC4"/>
    <w:rsid w:val="000B5D18"/>
    <w:rsid w:val="000B6050"/>
    <w:rsid w:val="000B63A1"/>
    <w:rsid w:val="000B7BB3"/>
    <w:rsid w:val="000C2919"/>
    <w:rsid w:val="000C4BA9"/>
    <w:rsid w:val="000C5CC8"/>
    <w:rsid w:val="000C5D4C"/>
    <w:rsid w:val="000C7154"/>
    <w:rsid w:val="000D3711"/>
    <w:rsid w:val="000D39A7"/>
    <w:rsid w:val="000D45A5"/>
    <w:rsid w:val="000D45CB"/>
    <w:rsid w:val="000D47C3"/>
    <w:rsid w:val="000D5FA1"/>
    <w:rsid w:val="000D628C"/>
    <w:rsid w:val="000E01C3"/>
    <w:rsid w:val="000E1305"/>
    <w:rsid w:val="000E26D2"/>
    <w:rsid w:val="000E30C7"/>
    <w:rsid w:val="000E3703"/>
    <w:rsid w:val="000E3D11"/>
    <w:rsid w:val="000E3F47"/>
    <w:rsid w:val="000E40E6"/>
    <w:rsid w:val="000E79EF"/>
    <w:rsid w:val="000F055C"/>
    <w:rsid w:val="000F2EE9"/>
    <w:rsid w:val="000F3851"/>
    <w:rsid w:val="000F7214"/>
    <w:rsid w:val="00100362"/>
    <w:rsid w:val="00100706"/>
    <w:rsid w:val="00101430"/>
    <w:rsid w:val="00104646"/>
    <w:rsid w:val="00104D80"/>
    <w:rsid w:val="001050E5"/>
    <w:rsid w:val="0010561F"/>
    <w:rsid w:val="001068E1"/>
    <w:rsid w:val="001076E0"/>
    <w:rsid w:val="001123EC"/>
    <w:rsid w:val="00112CAF"/>
    <w:rsid w:val="00116275"/>
    <w:rsid w:val="0012079A"/>
    <w:rsid w:val="00120D8F"/>
    <w:rsid w:val="00122ABC"/>
    <w:rsid w:val="00122EC9"/>
    <w:rsid w:val="00122FD8"/>
    <w:rsid w:val="001244E2"/>
    <w:rsid w:val="00124F32"/>
    <w:rsid w:val="001262DC"/>
    <w:rsid w:val="00126A9B"/>
    <w:rsid w:val="00130179"/>
    <w:rsid w:val="0013020D"/>
    <w:rsid w:val="001310F6"/>
    <w:rsid w:val="001312A4"/>
    <w:rsid w:val="00134071"/>
    <w:rsid w:val="00135745"/>
    <w:rsid w:val="001359A3"/>
    <w:rsid w:val="00136293"/>
    <w:rsid w:val="00137789"/>
    <w:rsid w:val="00141AB2"/>
    <w:rsid w:val="001453B0"/>
    <w:rsid w:val="001464D3"/>
    <w:rsid w:val="0014698E"/>
    <w:rsid w:val="0014706F"/>
    <w:rsid w:val="00147E73"/>
    <w:rsid w:val="001500FA"/>
    <w:rsid w:val="00150A25"/>
    <w:rsid w:val="0015137B"/>
    <w:rsid w:val="00151602"/>
    <w:rsid w:val="00153146"/>
    <w:rsid w:val="00160100"/>
    <w:rsid w:val="001616A8"/>
    <w:rsid w:val="00163636"/>
    <w:rsid w:val="00164239"/>
    <w:rsid w:val="0016434A"/>
    <w:rsid w:val="00164BC0"/>
    <w:rsid w:val="00164FC8"/>
    <w:rsid w:val="0016703F"/>
    <w:rsid w:val="0016758E"/>
    <w:rsid w:val="00167C69"/>
    <w:rsid w:val="001714B6"/>
    <w:rsid w:val="00172C6D"/>
    <w:rsid w:val="00173213"/>
    <w:rsid w:val="00174302"/>
    <w:rsid w:val="00175B55"/>
    <w:rsid w:val="00175E8F"/>
    <w:rsid w:val="00175F2D"/>
    <w:rsid w:val="001764E1"/>
    <w:rsid w:val="0017681B"/>
    <w:rsid w:val="001819BE"/>
    <w:rsid w:val="00181D95"/>
    <w:rsid w:val="00183BDD"/>
    <w:rsid w:val="001870C4"/>
    <w:rsid w:val="00192138"/>
    <w:rsid w:val="00193031"/>
    <w:rsid w:val="00193FED"/>
    <w:rsid w:val="001943AC"/>
    <w:rsid w:val="001943AF"/>
    <w:rsid w:val="001948A7"/>
    <w:rsid w:val="001957BF"/>
    <w:rsid w:val="00196463"/>
    <w:rsid w:val="0019761A"/>
    <w:rsid w:val="001A008B"/>
    <w:rsid w:val="001A07D0"/>
    <w:rsid w:val="001A1B76"/>
    <w:rsid w:val="001A2DA0"/>
    <w:rsid w:val="001A3530"/>
    <w:rsid w:val="001A4664"/>
    <w:rsid w:val="001A5085"/>
    <w:rsid w:val="001A7011"/>
    <w:rsid w:val="001A7202"/>
    <w:rsid w:val="001B16EF"/>
    <w:rsid w:val="001B1710"/>
    <w:rsid w:val="001B2980"/>
    <w:rsid w:val="001B2D13"/>
    <w:rsid w:val="001B37DF"/>
    <w:rsid w:val="001B3BE0"/>
    <w:rsid w:val="001B418F"/>
    <w:rsid w:val="001B5039"/>
    <w:rsid w:val="001B71D0"/>
    <w:rsid w:val="001B7328"/>
    <w:rsid w:val="001C0AF2"/>
    <w:rsid w:val="001C1D6F"/>
    <w:rsid w:val="001C31A7"/>
    <w:rsid w:val="001C3AD2"/>
    <w:rsid w:val="001D1743"/>
    <w:rsid w:val="001D1C64"/>
    <w:rsid w:val="001D33BE"/>
    <w:rsid w:val="001D5D73"/>
    <w:rsid w:val="001D616A"/>
    <w:rsid w:val="001E1CE3"/>
    <w:rsid w:val="001E24AB"/>
    <w:rsid w:val="001E5235"/>
    <w:rsid w:val="001E59BE"/>
    <w:rsid w:val="001E5AD1"/>
    <w:rsid w:val="001E5EA1"/>
    <w:rsid w:val="001E64D0"/>
    <w:rsid w:val="001E79F5"/>
    <w:rsid w:val="001F1A75"/>
    <w:rsid w:val="001F2400"/>
    <w:rsid w:val="001F3E77"/>
    <w:rsid w:val="001F4BD0"/>
    <w:rsid w:val="001F5256"/>
    <w:rsid w:val="0020191D"/>
    <w:rsid w:val="002038F5"/>
    <w:rsid w:val="002040A0"/>
    <w:rsid w:val="00204F98"/>
    <w:rsid w:val="00205287"/>
    <w:rsid w:val="002064CF"/>
    <w:rsid w:val="00207A86"/>
    <w:rsid w:val="00210BCB"/>
    <w:rsid w:val="002114E8"/>
    <w:rsid w:val="002133F9"/>
    <w:rsid w:val="002134F6"/>
    <w:rsid w:val="00213BE0"/>
    <w:rsid w:val="002248A5"/>
    <w:rsid w:val="00225CB2"/>
    <w:rsid w:val="002261EC"/>
    <w:rsid w:val="002275EB"/>
    <w:rsid w:val="00227EAA"/>
    <w:rsid w:val="00231561"/>
    <w:rsid w:val="00232DDA"/>
    <w:rsid w:val="00234257"/>
    <w:rsid w:val="00237DB1"/>
    <w:rsid w:val="00237DFD"/>
    <w:rsid w:val="00240653"/>
    <w:rsid w:val="00241FCE"/>
    <w:rsid w:val="00242506"/>
    <w:rsid w:val="00243791"/>
    <w:rsid w:val="00244522"/>
    <w:rsid w:val="00244C88"/>
    <w:rsid w:val="00246055"/>
    <w:rsid w:val="0024616D"/>
    <w:rsid w:val="00246A27"/>
    <w:rsid w:val="0024701C"/>
    <w:rsid w:val="00252E55"/>
    <w:rsid w:val="0025356A"/>
    <w:rsid w:val="0025368A"/>
    <w:rsid w:val="00254C8C"/>
    <w:rsid w:val="00254CD9"/>
    <w:rsid w:val="002569E5"/>
    <w:rsid w:val="00257354"/>
    <w:rsid w:val="00261A99"/>
    <w:rsid w:val="00261EC5"/>
    <w:rsid w:val="00262A8A"/>
    <w:rsid w:val="002633BA"/>
    <w:rsid w:val="00263C34"/>
    <w:rsid w:val="002647A9"/>
    <w:rsid w:val="002649FA"/>
    <w:rsid w:val="00264D20"/>
    <w:rsid w:val="00267502"/>
    <w:rsid w:val="00270805"/>
    <w:rsid w:val="00271DBC"/>
    <w:rsid w:val="00272BA9"/>
    <w:rsid w:val="00273651"/>
    <w:rsid w:val="002738FE"/>
    <w:rsid w:val="00275245"/>
    <w:rsid w:val="0027561C"/>
    <w:rsid w:val="002766CE"/>
    <w:rsid w:val="00276A8D"/>
    <w:rsid w:val="00276AB8"/>
    <w:rsid w:val="002778BE"/>
    <w:rsid w:val="00277E66"/>
    <w:rsid w:val="00280676"/>
    <w:rsid w:val="00281A28"/>
    <w:rsid w:val="002824C3"/>
    <w:rsid w:val="00282CFE"/>
    <w:rsid w:val="00283466"/>
    <w:rsid w:val="002870DD"/>
    <w:rsid w:val="00287250"/>
    <w:rsid w:val="00292AD8"/>
    <w:rsid w:val="0029306B"/>
    <w:rsid w:val="0029632F"/>
    <w:rsid w:val="002977AC"/>
    <w:rsid w:val="002A166E"/>
    <w:rsid w:val="002A1B15"/>
    <w:rsid w:val="002A3D46"/>
    <w:rsid w:val="002A5AEE"/>
    <w:rsid w:val="002A6202"/>
    <w:rsid w:val="002A68C7"/>
    <w:rsid w:val="002A6DA5"/>
    <w:rsid w:val="002B21F4"/>
    <w:rsid w:val="002B3661"/>
    <w:rsid w:val="002B5955"/>
    <w:rsid w:val="002B6790"/>
    <w:rsid w:val="002C06BF"/>
    <w:rsid w:val="002C0E21"/>
    <w:rsid w:val="002C3665"/>
    <w:rsid w:val="002C4A08"/>
    <w:rsid w:val="002D1581"/>
    <w:rsid w:val="002D230C"/>
    <w:rsid w:val="002D2C9C"/>
    <w:rsid w:val="002D5922"/>
    <w:rsid w:val="002D6264"/>
    <w:rsid w:val="002D79FC"/>
    <w:rsid w:val="002E0674"/>
    <w:rsid w:val="002E0B9C"/>
    <w:rsid w:val="002E1855"/>
    <w:rsid w:val="002E222A"/>
    <w:rsid w:val="002E5E32"/>
    <w:rsid w:val="002E63F9"/>
    <w:rsid w:val="002E7198"/>
    <w:rsid w:val="002E7250"/>
    <w:rsid w:val="002E76F9"/>
    <w:rsid w:val="002F1190"/>
    <w:rsid w:val="002F22FE"/>
    <w:rsid w:val="002F4952"/>
    <w:rsid w:val="002F4A8F"/>
    <w:rsid w:val="002F4FED"/>
    <w:rsid w:val="002F598F"/>
    <w:rsid w:val="002F6298"/>
    <w:rsid w:val="002F67A9"/>
    <w:rsid w:val="00300035"/>
    <w:rsid w:val="003009D1"/>
    <w:rsid w:val="00302398"/>
    <w:rsid w:val="00304EB6"/>
    <w:rsid w:val="003068A5"/>
    <w:rsid w:val="00314A6A"/>
    <w:rsid w:val="003158A4"/>
    <w:rsid w:val="0031697C"/>
    <w:rsid w:val="00316EE0"/>
    <w:rsid w:val="00320A9E"/>
    <w:rsid w:val="00322261"/>
    <w:rsid w:val="00325510"/>
    <w:rsid w:val="00327D92"/>
    <w:rsid w:val="0033006E"/>
    <w:rsid w:val="00330627"/>
    <w:rsid w:val="0033180C"/>
    <w:rsid w:val="0033227C"/>
    <w:rsid w:val="00334CDF"/>
    <w:rsid w:val="003352DE"/>
    <w:rsid w:val="003361C6"/>
    <w:rsid w:val="003377CC"/>
    <w:rsid w:val="003403E6"/>
    <w:rsid w:val="00340636"/>
    <w:rsid w:val="0034067D"/>
    <w:rsid w:val="00343283"/>
    <w:rsid w:val="00346C36"/>
    <w:rsid w:val="00347AD6"/>
    <w:rsid w:val="00350D87"/>
    <w:rsid w:val="003532E1"/>
    <w:rsid w:val="003562AB"/>
    <w:rsid w:val="0035670D"/>
    <w:rsid w:val="00356C7A"/>
    <w:rsid w:val="003632E0"/>
    <w:rsid w:val="003657C9"/>
    <w:rsid w:val="00365B27"/>
    <w:rsid w:val="003667BD"/>
    <w:rsid w:val="00366B03"/>
    <w:rsid w:val="00372829"/>
    <w:rsid w:val="00373C8F"/>
    <w:rsid w:val="00375729"/>
    <w:rsid w:val="003757F9"/>
    <w:rsid w:val="0038021B"/>
    <w:rsid w:val="00380415"/>
    <w:rsid w:val="00382F8B"/>
    <w:rsid w:val="00383AF9"/>
    <w:rsid w:val="003864AA"/>
    <w:rsid w:val="00387419"/>
    <w:rsid w:val="0039143D"/>
    <w:rsid w:val="00392F50"/>
    <w:rsid w:val="00395770"/>
    <w:rsid w:val="00396BF6"/>
    <w:rsid w:val="00396CCB"/>
    <w:rsid w:val="00397284"/>
    <w:rsid w:val="003975A8"/>
    <w:rsid w:val="003A0088"/>
    <w:rsid w:val="003A0A5F"/>
    <w:rsid w:val="003A27B3"/>
    <w:rsid w:val="003A3B79"/>
    <w:rsid w:val="003A3C83"/>
    <w:rsid w:val="003A5E48"/>
    <w:rsid w:val="003A6162"/>
    <w:rsid w:val="003B0661"/>
    <w:rsid w:val="003B339D"/>
    <w:rsid w:val="003B3A15"/>
    <w:rsid w:val="003B4358"/>
    <w:rsid w:val="003B4B5E"/>
    <w:rsid w:val="003B7C30"/>
    <w:rsid w:val="003C10D1"/>
    <w:rsid w:val="003C2052"/>
    <w:rsid w:val="003C23AF"/>
    <w:rsid w:val="003C274C"/>
    <w:rsid w:val="003C2901"/>
    <w:rsid w:val="003C2DB4"/>
    <w:rsid w:val="003C449E"/>
    <w:rsid w:val="003C4913"/>
    <w:rsid w:val="003C53E0"/>
    <w:rsid w:val="003C5497"/>
    <w:rsid w:val="003C54E3"/>
    <w:rsid w:val="003C556D"/>
    <w:rsid w:val="003C5918"/>
    <w:rsid w:val="003C5EDD"/>
    <w:rsid w:val="003C6D4A"/>
    <w:rsid w:val="003D1920"/>
    <w:rsid w:val="003D400C"/>
    <w:rsid w:val="003D6CC3"/>
    <w:rsid w:val="003D70AE"/>
    <w:rsid w:val="003E0F5B"/>
    <w:rsid w:val="003E18A8"/>
    <w:rsid w:val="003E1B2A"/>
    <w:rsid w:val="003E2D41"/>
    <w:rsid w:val="003E3928"/>
    <w:rsid w:val="003E4431"/>
    <w:rsid w:val="003E449B"/>
    <w:rsid w:val="003E4AF1"/>
    <w:rsid w:val="003E4B93"/>
    <w:rsid w:val="003E6BC3"/>
    <w:rsid w:val="003E73D2"/>
    <w:rsid w:val="003E7B51"/>
    <w:rsid w:val="003F0EAE"/>
    <w:rsid w:val="003F2B98"/>
    <w:rsid w:val="003F4235"/>
    <w:rsid w:val="003F5A71"/>
    <w:rsid w:val="003F5B68"/>
    <w:rsid w:val="003F6CA5"/>
    <w:rsid w:val="0040083E"/>
    <w:rsid w:val="00400D5A"/>
    <w:rsid w:val="00401721"/>
    <w:rsid w:val="004018F6"/>
    <w:rsid w:val="0040218F"/>
    <w:rsid w:val="00402B65"/>
    <w:rsid w:val="00404A11"/>
    <w:rsid w:val="00404D06"/>
    <w:rsid w:val="00406FBA"/>
    <w:rsid w:val="00406FC6"/>
    <w:rsid w:val="0040743C"/>
    <w:rsid w:val="004118C7"/>
    <w:rsid w:val="004119DB"/>
    <w:rsid w:val="00412265"/>
    <w:rsid w:val="004140CD"/>
    <w:rsid w:val="004141F6"/>
    <w:rsid w:val="00414911"/>
    <w:rsid w:val="00416D41"/>
    <w:rsid w:val="0041749A"/>
    <w:rsid w:val="00420688"/>
    <w:rsid w:val="004235B0"/>
    <w:rsid w:val="00423C58"/>
    <w:rsid w:val="0042408E"/>
    <w:rsid w:val="00424737"/>
    <w:rsid w:val="00426BE8"/>
    <w:rsid w:val="004308BA"/>
    <w:rsid w:val="00430B35"/>
    <w:rsid w:val="00431E83"/>
    <w:rsid w:val="004324D2"/>
    <w:rsid w:val="0043400B"/>
    <w:rsid w:val="00434154"/>
    <w:rsid w:val="00436B9C"/>
    <w:rsid w:val="00436BC2"/>
    <w:rsid w:val="00440653"/>
    <w:rsid w:val="00444245"/>
    <w:rsid w:val="00444AD6"/>
    <w:rsid w:val="00445650"/>
    <w:rsid w:val="00450721"/>
    <w:rsid w:val="00453912"/>
    <w:rsid w:val="00454F72"/>
    <w:rsid w:val="0046151E"/>
    <w:rsid w:val="004637AA"/>
    <w:rsid w:val="0046387B"/>
    <w:rsid w:val="00463C53"/>
    <w:rsid w:val="00463CD7"/>
    <w:rsid w:val="00466CE0"/>
    <w:rsid w:val="0047081B"/>
    <w:rsid w:val="00471CAB"/>
    <w:rsid w:val="0047224D"/>
    <w:rsid w:val="004757DB"/>
    <w:rsid w:val="0048029F"/>
    <w:rsid w:val="00482A84"/>
    <w:rsid w:val="00483044"/>
    <w:rsid w:val="00486B78"/>
    <w:rsid w:val="00491E9F"/>
    <w:rsid w:val="00493D95"/>
    <w:rsid w:val="004952CE"/>
    <w:rsid w:val="004957E0"/>
    <w:rsid w:val="00496C6A"/>
    <w:rsid w:val="004971DB"/>
    <w:rsid w:val="00497E1B"/>
    <w:rsid w:val="004A3826"/>
    <w:rsid w:val="004A3B6D"/>
    <w:rsid w:val="004A426A"/>
    <w:rsid w:val="004A4EC3"/>
    <w:rsid w:val="004A5B27"/>
    <w:rsid w:val="004A7215"/>
    <w:rsid w:val="004A76D6"/>
    <w:rsid w:val="004A796A"/>
    <w:rsid w:val="004A7973"/>
    <w:rsid w:val="004B198D"/>
    <w:rsid w:val="004B28A1"/>
    <w:rsid w:val="004B4724"/>
    <w:rsid w:val="004B5992"/>
    <w:rsid w:val="004B5FFF"/>
    <w:rsid w:val="004B60EA"/>
    <w:rsid w:val="004B791A"/>
    <w:rsid w:val="004C00A3"/>
    <w:rsid w:val="004C0314"/>
    <w:rsid w:val="004C0382"/>
    <w:rsid w:val="004C1283"/>
    <w:rsid w:val="004C309C"/>
    <w:rsid w:val="004C49A6"/>
    <w:rsid w:val="004C4B6B"/>
    <w:rsid w:val="004C5C3B"/>
    <w:rsid w:val="004C79B7"/>
    <w:rsid w:val="004D0CFE"/>
    <w:rsid w:val="004D1329"/>
    <w:rsid w:val="004D288B"/>
    <w:rsid w:val="004D4DE1"/>
    <w:rsid w:val="004D4FF2"/>
    <w:rsid w:val="004E04E9"/>
    <w:rsid w:val="004E1096"/>
    <w:rsid w:val="004E146F"/>
    <w:rsid w:val="004E1B62"/>
    <w:rsid w:val="004E3E05"/>
    <w:rsid w:val="004E456D"/>
    <w:rsid w:val="004E5F1E"/>
    <w:rsid w:val="004E638F"/>
    <w:rsid w:val="004F1583"/>
    <w:rsid w:val="004F58DD"/>
    <w:rsid w:val="00500F04"/>
    <w:rsid w:val="00501D56"/>
    <w:rsid w:val="0050231D"/>
    <w:rsid w:val="005028B6"/>
    <w:rsid w:val="005034A3"/>
    <w:rsid w:val="00504855"/>
    <w:rsid w:val="00506F4E"/>
    <w:rsid w:val="005073DA"/>
    <w:rsid w:val="00507B9A"/>
    <w:rsid w:val="00510B1A"/>
    <w:rsid w:val="005117CE"/>
    <w:rsid w:val="005122F8"/>
    <w:rsid w:val="00513ACD"/>
    <w:rsid w:val="00514C26"/>
    <w:rsid w:val="0051530B"/>
    <w:rsid w:val="0051700B"/>
    <w:rsid w:val="005206CD"/>
    <w:rsid w:val="0052177E"/>
    <w:rsid w:val="00522AE3"/>
    <w:rsid w:val="005235DD"/>
    <w:rsid w:val="00523E47"/>
    <w:rsid w:val="005256AC"/>
    <w:rsid w:val="00525BF9"/>
    <w:rsid w:val="00525E2B"/>
    <w:rsid w:val="00527350"/>
    <w:rsid w:val="00527B10"/>
    <w:rsid w:val="00527ECE"/>
    <w:rsid w:val="0053032D"/>
    <w:rsid w:val="0053039A"/>
    <w:rsid w:val="00530C7E"/>
    <w:rsid w:val="00532E0C"/>
    <w:rsid w:val="0053361C"/>
    <w:rsid w:val="00533900"/>
    <w:rsid w:val="00533DD5"/>
    <w:rsid w:val="0053412C"/>
    <w:rsid w:val="0053545D"/>
    <w:rsid w:val="00535503"/>
    <w:rsid w:val="00536E29"/>
    <w:rsid w:val="00540EE6"/>
    <w:rsid w:val="00542856"/>
    <w:rsid w:val="00544100"/>
    <w:rsid w:val="0054420B"/>
    <w:rsid w:val="00544B25"/>
    <w:rsid w:val="00544C6E"/>
    <w:rsid w:val="005450BF"/>
    <w:rsid w:val="005506DE"/>
    <w:rsid w:val="00550701"/>
    <w:rsid w:val="005514DC"/>
    <w:rsid w:val="0055500F"/>
    <w:rsid w:val="005601DA"/>
    <w:rsid w:val="005628C7"/>
    <w:rsid w:val="00562A74"/>
    <w:rsid w:val="0056317D"/>
    <w:rsid w:val="005643D6"/>
    <w:rsid w:val="00566E07"/>
    <w:rsid w:val="00567819"/>
    <w:rsid w:val="00572FA1"/>
    <w:rsid w:val="00574E50"/>
    <w:rsid w:val="00575938"/>
    <w:rsid w:val="0057611B"/>
    <w:rsid w:val="00576FF6"/>
    <w:rsid w:val="00580E20"/>
    <w:rsid w:val="00582B7C"/>
    <w:rsid w:val="00584197"/>
    <w:rsid w:val="005856E1"/>
    <w:rsid w:val="0058695D"/>
    <w:rsid w:val="00587B70"/>
    <w:rsid w:val="0059440C"/>
    <w:rsid w:val="00595F1D"/>
    <w:rsid w:val="00596F03"/>
    <w:rsid w:val="005A04BC"/>
    <w:rsid w:val="005A0CC6"/>
    <w:rsid w:val="005A3EC4"/>
    <w:rsid w:val="005A664A"/>
    <w:rsid w:val="005A689F"/>
    <w:rsid w:val="005A70C7"/>
    <w:rsid w:val="005A71F0"/>
    <w:rsid w:val="005A7995"/>
    <w:rsid w:val="005B1F56"/>
    <w:rsid w:val="005B2ADA"/>
    <w:rsid w:val="005B4235"/>
    <w:rsid w:val="005B550B"/>
    <w:rsid w:val="005B5B87"/>
    <w:rsid w:val="005B6011"/>
    <w:rsid w:val="005B60E5"/>
    <w:rsid w:val="005B7695"/>
    <w:rsid w:val="005B796F"/>
    <w:rsid w:val="005C3DC0"/>
    <w:rsid w:val="005C4243"/>
    <w:rsid w:val="005C51BF"/>
    <w:rsid w:val="005C6D0B"/>
    <w:rsid w:val="005D02D8"/>
    <w:rsid w:val="005D06E3"/>
    <w:rsid w:val="005D3AFF"/>
    <w:rsid w:val="005D5044"/>
    <w:rsid w:val="005D58C3"/>
    <w:rsid w:val="005D5A6C"/>
    <w:rsid w:val="005E13F0"/>
    <w:rsid w:val="005E142D"/>
    <w:rsid w:val="005E1803"/>
    <w:rsid w:val="005E3012"/>
    <w:rsid w:val="005E39E7"/>
    <w:rsid w:val="005F148F"/>
    <w:rsid w:val="005F246E"/>
    <w:rsid w:val="005F2D52"/>
    <w:rsid w:val="005F50B0"/>
    <w:rsid w:val="005F593E"/>
    <w:rsid w:val="005F5DEA"/>
    <w:rsid w:val="005F70FE"/>
    <w:rsid w:val="005F7DF0"/>
    <w:rsid w:val="0060110E"/>
    <w:rsid w:val="00602821"/>
    <w:rsid w:val="00602CF4"/>
    <w:rsid w:val="00602F2B"/>
    <w:rsid w:val="00603ABC"/>
    <w:rsid w:val="00604E2F"/>
    <w:rsid w:val="00605D0D"/>
    <w:rsid w:val="00605EDF"/>
    <w:rsid w:val="00607894"/>
    <w:rsid w:val="00610B5B"/>
    <w:rsid w:val="0061122F"/>
    <w:rsid w:val="006119D0"/>
    <w:rsid w:val="006120DF"/>
    <w:rsid w:val="00612339"/>
    <w:rsid w:val="006176C2"/>
    <w:rsid w:val="0062033C"/>
    <w:rsid w:val="00621017"/>
    <w:rsid w:val="00621754"/>
    <w:rsid w:val="00621EEF"/>
    <w:rsid w:val="00623E37"/>
    <w:rsid w:val="00624D29"/>
    <w:rsid w:val="00626568"/>
    <w:rsid w:val="00626949"/>
    <w:rsid w:val="00626C64"/>
    <w:rsid w:val="00626E3A"/>
    <w:rsid w:val="0062700F"/>
    <w:rsid w:val="00631AD6"/>
    <w:rsid w:val="00631D40"/>
    <w:rsid w:val="00632944"/>
    <w:rsid w:val="00633305"/>
    <w:rsid w:val="00634522"/>
    <w:rsid w:val="00635649"/>
    <w:rsid w:val="00636106"/>
    <w:rsid w:val="0064112D"/>
    <w:rsid w:val="00641652"/>
    <w:rsid w:val="00642430"/>
    <w:rsid w:val="00642F7F"/>
    <w:rsid w:val="00643373"/>
    <w:rsid w:val="0064345D"/>
    <w:rsid w:val="0064390F"/>
    <w:rsid w:val="006465B2"/>
    <w:rsid w:val="00646A23"/>
    <w:rsid w:val="006478D6"/>
    <w:rsid w:val="0065069C"/>
    <w:rsid w:val="00650760"/>
    <w:rsid w:val="00650970"/>
    <w:rsid w:val="00650D2E"/>
    <w:rsid w:val="006510B6"/>
    <w:rsid w:val="00651C17"/>
    <w:rsid w:val="00652014"/>
    <w:rsid w:val="0065368B"/>
    <w:rsid w:val="006538D7"/>
    <w:rsid w:val="00654AF7"/>
    <w:rsid w:val="00654BAC"/>
    <w:rsid w:val="00654F55"/>
    <w:rsid w:val="006621FE"/>
    <w:rsid w:val="006625B7"/>
    <w:rsid w:val="00664662"/>
    <w:rsid w:val="006654CF"/>
    <w:rsid w:val="006708CE"/>
    <w:rsid w:val="00670B66"/>
    <w:rsid w:val="00671283"/>
    <w:rsid w:val="00672A8C"/>
    <w:rsid w:val="0067388A"/>
    <w:rsid w:val="00675295"/>
    <w:rsid w:val="00676491"/>
    <w:rsid w:val="006768FF"/>
    <w:rsid w:val="00676E75"/>
    <w:rsid w:val="00681295"/>
    <w:rsid w:val="006815E4"/>
    <w:rsid w:val="00681B30"/>
    <w:rsid w:val="00682AED"/>
    <w:rsid w:val="00682B97"/>
    <w:rsid w:val="00682E86"/>
    <w:rsid w:val="0068325D"/>
    <w:rsid w:val="00683A1F"/>
    <w:rsid w:val="0068458E"/>
    <w:rsid w:val="006851DE"/>
    <w:rsid w:val="006853C3"/>
    <w:rsid w:val="006859A6"/>
    <w:rsid w:val="006863F8"/>
    <w:rsid w:val="006864B4"/>
    <w:rsid w:val="00687B94"/>
    <w:rsid w:val="00690747"/>
    <w:rsid w:val="00692EBA"/>
    <w:rsid w:val="006961D4"/>
    <w:rsid w:val="00696536"/>
    <w:rsid w:val="006A3E35"/>
    <w:rsid w:val="006A4529"/>
    <w:rsid w:val="006A4F72"/>
    <w:rsid w:val="006A71F3"/>
    <w:rsid w:val="006A72EC"/>
    <w:rsid w:val="006B0D80"/>
    <w:rsid w:val="006B0E53"/>
    <w:rsid w:val="006B2095"/>
    <w:rsid w:val="006B3F1B"/>
    <w:rsid w:val="006B43EF"/>
    <w:rsid w:val="006B58E5"/>
    <w:rsid w:val="006C1A3A"/>
    <w:rsid w:val="006C1B2D"/>
    <w:rsid w:val="006C2E2A"/>
    <w:rsid w:val="006C4969"/>
    <w:rsid w:val="006C525B"/>
    <w:rsid w:val="006C6400"/>
    <w:rsid w:val="006C658B"/>
    <w:rsid w:val="006C79EC"/>
    <w:rsid w:val="006D2402"/>
    <w:rsid w:val="006D3DA8"/>
    <w:rsid w:val="006D5630"/>
    <w:rsid w:val="006D64EA"/>
    <w:rsid w:val="006D7B3C"/>
    <w:rsid w:val="006E0031"/>
    <w:rsid w:val="006E03C3"/>
    <w:rsid w:val="006E1687"/>
    <w:rsid w:val="006E2396"/>
    <w:rsid w:val="006E2E84"/>
    <w:rsid w:val="006E7EF5"/>
    <w:rsid w:val="006F07D5"/>
    <w:rsid w:val="006F1632"/>
    <w:rsid w:val="006F382C"/>
    <w:rsid w:val="00702737"/>
    <w:rsid w:val="00705810"/>
    <w:rsid w:val="00706A6B"/>
    <w:rsid w:val="007076C1"/>
    <w:rsid w:val="00710671"/>
    <w:rsid w:val="00710717"/>
    <w:rsid w:val="007109BF"/>
    <w:rsid w:val="007113EA"/>
    <w:rsid w:val="00711548"/>
    <w:rsid w:val="00712609"/>
    <w:rsid w:val="00713B21"/>
    <w:rsid w:val="007146EF"/>
    <w:rsid w:val="007150E5"/>
    <w:rsid w:val="007171F6"/>
    <w:rsid w:val="007204BB"/>
    <w:rsid w:val="0072069D"/>
    <w:rsid w:val="00720C7A"/>
    <w:rsid w:val="007211C5"/>
    <w:rsid w:val="007211F1"/>
    <w:rsid w:val="00721897"/>
    <w:rsid w:val="007236E3"/>
    <w:rsid w:val="00723996"/>
    <w:rsid w:val="00723B2F"/>
    <w:rsid w:val="007244CE"/>
    <w:rsid w:val="007263D4"/>
    <w:rsid w:val="00726BF9"/>
    <w:rsid w:val="00727AD6"/>
    <w:rsid w:val="0073005A"/>
    <w:rsid w:val="007316C3"/>
    <w:rsid w:val="0073185B"/>
    <w:rsid w:val="00731DD0"/>
    <w:rsid w:val="00732207"/>
    <w:rsid w:val="007336E7"/>
    <w:rsid w:val="007337C8"/>
    <w:rsid w:val="00734C66"/>
    <w:rsid w:val="00734EF1"/>
    <w:rsid w:val="00736960"/>
    <w:rsid w:val="0074079A"/>
    <w:rsid w:val="0074086B"/>
    <w:rsid w:val="00742802"/>
    <w:rsid w:val="00743227"/>
    <w:rsid w:val="007445D7"/>
    <w:rsid w:val="007449F5"/>
    <w:rsid w:val="00746371"/>
    <w:rsid w:val="007469F3"/>
    <w:rsid w:val="007502AB"/>
    <w:rsid w:val="00751037"/>
    <w:rsid w:val="0075124B"/>
    <w:rsid w:val="00751813"/>
    <w:rsid w:val="00753CBA"/>
    <w:rsid w:val="00754281"/>
    <w:rsid w:val="0075671A"/>
    <w:rsid w:val="00756A2E"/>
    <w:rsid w:val="00757232"/>
    <w:rsid w:val="00757423"/>
    <w:rsid w:val="007623FF"/>
    <w:rsid w:val="00764AFA"/>
    <w:rsid w:val="00765A84"/>
    <w:rsid w:val="00766E80"/>
    <w:rsid w:val="00766FBE"/>
    <w:rsid w:val="00767588"/>
    <w:rsid w:val="00767B26"/>
    <w:rsid w:val="007706D6"/>
    <w:rsid w:val="0077157A"/>
    <w:rsid w:val="00771917"/>
    <w:rsid w:val="0077231B"/>
    <w:rsid w:val="007755A5"/>
    <w:rsid w:val="0077659E"/>
    <w:rsid w:val="007769C9"/>
    <w:rsid w:val="00777B55"/>
    <w:rsid w:val="007802A2"/>
    <w:rsid w:val="00780930"/>
    <w:rsid w:val="00780FA3"/>
    <w:rsid w:val="00781FD2"/>
    <w:rsid w:val="0078281C"/>
    <w:rsid w:val="0078331A"/>
    <w:rsid w:val="0078590C"/>
    <w:rsid w:val="00790AE6"/>
    <w:rsid w:val="007915CD"/>
    <w:rsid w:val="00791B46"/>
    <w:rsid w:val="007922CC"/>
    <w:rsid w:val="00792E79"/>
    <w:rsid w:val="00793213"/>
    <w:rsid w:val="007935DA"/>
    <w:rsid w:val="00794F78"/>
    <w:rsid w:val="00796953"/>
    <w:rsid w:val="007A1BC4"/>
    <w:rsid w:val="007A2C6E"/>
    <w:rsid w:val="007A4CFB"/>
    <w:rsid w:val="007A7972"/>
    <w:rsid w:val="007B0D62"/>
    <w:rsid w:val="007B1BA4"/>
    <w:rsid w:val="007B1DE1"/>
    <w:rsid w:val="007B355B"/>
    <w:rsid w:val="007B3F60"/>
    <w:rsid w:val="007B4420"/>
    <w:rsid w:val="007B6037"/>
    <w:rsid w:val="007B63CB"/>
    <w:rsid w:val="007B63E5"/>
    <w:rsid w:val="007B671D"/>
    <w:rsid w:val="007C053F"/>
    <w:rsid w:val="007C28F9"/>
    <w:rsid w:val="007C3145"/>
    <w:rsid w:val="007C6410"/>
    <w:rsid w:val="007C6CB8"/>
    <w:rsid w:val="007D014B"/>
    <w:rsid w:val="007D376D"/>
    <w:rsid w:val="007D4737"/>
    <w:rsid w:val="007D6069"/>
    <w:rsid w:val="007D6E6D"/>
    <w:rsid w:val="007D7501"/>
    <w:rsid w:val="007D772F"/>
    <w:rsid w:val="007D782E"/>
    <w:rsid w:val="007E046B"/>
    <w:rsid w:val="007E19AF"/>
    <w:rsid w:val="007E204B"/>
    <w:rsid w:val="007E3465"/>
    <w:rsid w:val="007E3527"/>
    <w:rsid w:val="007E39E4"/>
    <w:rsid w:val="007E3D28"/>
    <w:rsid w:val="007E61E9"/>
    <w:rsid w:val="007E6E15"/>
    <w:rsid w:val="007F07E5"/>
    <w:rsid w:val="007F16B8"/>
    <w:rsid w:val="007F1934"/>
    <w:rsid w:val="007F1ADB"/>
    <w:rsid w:val="007F2E73"/>
    <w:rsid w:val="007F419A"/>
    <w:rsid w:val="00800746"/>
    <w:rsid w:val="00800A00"/>
    <w:rsid w:val="008024EF"/>
    <w:rsid w:val="00804372"/>
    <w:rsid w:val="00806227"/>
    <w:rsid w:val="008064AA"/>
    <w:rsid w:val="008065B1"/>
    <w:rsid w:val="0080666D"/>
    <w:rsid w:val="008101AD"/>
    <w:rsid w:val="00811439"/>
    <w:rsid w:val="008115DC"/>
    <w:rsid w:val="00815474"/>
    <w:rsid w:val="008205BE"/>
    <w:rsid w:val="00821621"/>
    <w:rsid w:val="0082212C"/>
    <w:rsid w:val="008227B4"/>
    <w:rsid w:val="008246A2"/>
    <w:rsid w:val="00831660"/>
    <w:rsid w:val="00831767"/>
    <w:rsid w:val="00831C6D"/>
    <w:rsid w:val="008320C0"/>
    <w:rsid w:val="0083335A"/>
    <w:rsid w:val="008334E3"/>
    <w:rsid w:val="008367E8"/>
    <w:rsid w:val="00837BF4"/>
    <w:rsid w:val="00840F71"/>
    <w:rsid w:val="00841793"/>
    <w:rsid w:val="00842ADC"/>
    <w:rsid w:val="00843411"/>
    <w:rsid w:val="00843665"/>
    <w:rsid w:val="0084500E"/>
    <w:rsid w:val="008460CC"/>
    <w:rsid w:val="00846633"/>
    <w:rsid w:val="00850220"/>
    <w:rsid w:val="00850A7C"/>
    <w:rsid w:val="00853AA1"/>
    <w:rsid w:val="00853C96"/>
    <w:rsid w:val="0085507D"/>
    <w:rsid w:val="0085517A"/>
    <w:rsid w:val="0085662C"/>
    <w:rsid w:val="008578E3"/>
    <w:rsid w:val="00861F76"/>
    <w:rsid w:val="0086207E"/>
    <w:rsid w:val="0086292A"/>
    <w:rsid w:val="008632FC"/>
    <w:rsid w:val="00864E8B"/>
    <w:rsid w:val="00866128"/>
    <w:rsid w:val="00866B8E"/>
    <w:rsid w:val="00867002"/>
    <w:rsid w:val="0086786A"/>
    <w:rsid w:val="00870346"/>
    <w:rsid w:val="00870AC5"/>
    <w:rsid w:val="00870E98"/>
    <w:rsid w:val="00871D73"/>
    <w:rsid w:val="00872265"/>
    <w:rsid w:val="00876033"/>
    <w:rsid w:val="00876E5A"/>
    <w:rsid w:val="00876F43"/>
    <w:rsid w:val="0087793E"/>
    <w:rsid w:val="008805A1"/>
    <w:rsid w:val="00881351"/>
    <w:rsid w:val="008815CA"/>
    <w:rsid w:val="00882771"/>
    <w:rsid w:val="008835D2"/>
    <w:rsid w:val="00884709"/>
    <w:rsid w:val="0088675E"/>
    <w:rsid w:val="00894598"/>
    <w:rsid w:val="00895D1C"/>
    <w:rsid w:val="0089648D"/>
    <w:rsid w:val="008A12DE"/>
    <w:rsid w:val="008A13FD"/>
    <w:rsid w:val="008A1620"/>
    <w:rsid w:val="008A60EB"/>
    <w:rsid w:val="008A646B"/>
    <w:rsid w:val="008A7886"/>
    <w:rsid w:val="008A7ACE"/>
    <w:rsid w:val="008B056F"/>
    <w:rsid w:val="008B061C"/>
    <w:rsid w:val="008B1C1B"/>
    <w:rsid w:val="008B3306"/>
    <w:rsid w:val="008B3895"/>
    <w:rsid w:val="008B4770"/>
    <w:rsid w:val="008B478E"/>
    <w:rsid w:val="008B62E6"/>
    <w:rsid w:val="008B6B76"/>
    <w:rsid w:val="008C1927"/>
    <w:rsid w:val="008C1C5D"/>
    <w:rsid w:val="008C22A7"/>
    <w:rsid w:val="008C3948"/>
    <w:rsid w:val="008C447A"/>
    <w:rsid w:val="008C4879"/>
    <w:rsid w:val="008C4FA4"/>
    <w:rsid w:val="008C79B1"/>
    <w:rsid w:val="008D08EB"/>
    <w:rsid w:val="008D4261"/>
    <w:rsid w:val="008D477A"/>
    <w:rsid w:val="008D535B"/>
    <w:rsid w:val="008E0EAF"/>
    <w:rsid w:val="008E3159"/>
    <w:rsid w:val="008E5A2D"/>
    <w:rsid w:val="008E5ED9"/>
    <w:rsid w:val="008E739D"/>
    <w:rsid w:val="008E773B"/>
    <w:rsid w:val="008E7D00"/>
    <w:rsid w:val="008F0943"/>
    <w:rsid w:val="008F1F11"/>
    <w:rsid w:val="0090150D"/>
    <w:rsid w:val="009023F6"/>
    <w:rsid w:val="00906D15"/>
    <w:rsid w:val="00906D5B"/>
    <w:rsid w:val="009109D6"/>
    <w:rsid w:val="00913DB7"/>
    <w:rsid w:val="00914289"/>
    <w:rsid w:val="00914C97"/>
    <w:rsid w:val="009171E9"/>
    <w:rsid w:val="009206AE"/>
    <w:rsid w:val="00921468"/>
    <w:rsid w:val="00921F71"/>
    <w:rsid w:val="00922548"/>
    <w:rsid w:val="00925426"/>
    <w:rsid w:val="009261C1"/>
    <w:rsid w:val="00933D9B"/>
    <w:rsid w:val="00933DAE"/>
    <w:rsid w:val="009360B6"/>
    <w:rsid w:val="00941151"/>
    <w:rsid w:val="00941EA5"/>
    <w:rsid w:val="0094531F"/>
    <w:rsid w:val="00946332"/>
    <w:rsid w:val="00946DD7"/>
    <w:rsid w:val="00947D95"/>
    <w:rsid w:val="00950D81"/>
    <w:rsid w:val="00950E57"/>
    <w:rsid w:val="009520C3"/>
    <w:rsid w:val="009536CF"/>
    <w:rsid w:val="00953EDB"/>
    <w:rsid w:val="009545F7"/>
    <w:rsid w:val="00954B8A"/>
    <w:rsid w:val="00955CC3"/>
    <w:rsid w:val="00956627"/>
    <w:rsid w:val="00960042"/>
    <w:rsid w:val="00960DC0"/>
    <w:rsid w:val="00961A7C"/>
    <w:rsid w:val="00962039"/>
    <w:rsid w:val="0096299E"/>
    <w:rsid w:val="00962F4E"/>
    <w:rsid w:val="009633BC"/>
    <w:rsid w:val="00967632"/>
    <w:rsid w:val="00967886"/>
    <w:rsid w:val="00971FD2"/>
    <w:rsid w:val="0097418A"/>
    <w:rsid w:val="00975B53"/>
    <w:rsid w:val="00975EC2"/>
    <w:rsid w:val="009760E1"/>
    <w:rsid w:val="009806A0"/>
    <w:rsid w:val="00982A61"/>
    <w:rsid w:val="009831DD"/>
    <w:rsid w:val="0098337F"/>
    <w:rsid w:val="0098399D"/>
    <w:rsid w:val="00984207"/>
    <w:rsid w:val="0098428F"/>
    <w:rsid w:val="00985EEE"/>
    <w:rsid w:val="00985F7A"/>
    <w:rsid w:val="0098636F"/>
    <w:rsid w:val="00987393"/>
    <w:rsid w:val="0098755C"/>
    <w:rsid w:val="009902E6"/>
    <w:rsid w:val="0099067D"/>
    <w:rsid w:val="00990A34"/>
    <w:rsid w:val="00990EF2"/>
    <w:rsid w:val="00991FDC"/>
    <w:rsid w:val="009A003F"/>
    <w:rsid w:val="009A096B"/>
    <w:rsid w:val="009A3CA8"/>
    <w:rsid w:val="009A5AB7"/>
    <w:rsid w:val="009A7B05"/>
    <w:rsid w:val="009B1540"/>
    <w:rsid w:val="009B44A8"/>
    <w:rsid w:val="009B4A38"/>
    <w:rsid w:val="009B4A94"/>
    <w:rsid w:val="009C34CD"/>
    <w:rsid w:val="009C36EB"/>
    <w:rsid w:val="009C42DE"/>
    <w:rsid w:val="009C467D"/>
    <w:rsid w:val="009C7053"/>
    <w:rsid w:val="009D13E6"/>
    <w:rsid w:val="009D4BE5"/>
    <w:rsid w:val="009D5F0A"/>
    <w:rsid w:val="009D766C"/>
    <w:rsid w:val="009E32D9"/>
    <w:rsid w:val="009E3363"/>
    <w:rsid w:val="009E3436"/>
    <w:rsid w:val="009E3B41"/>
    <w:rsid w:val="009E4093"/>
    <w:rsid w:val="009E6B1E"/>
    <w:rsid w:val="009F0661"/>
    <w:rsid w:val="009F1507"/>
    <w:rsid w:val="009F293E"/>
    <w:rsid w:val="009F4A62"/>
    <w:rsid w:val="009F5929"/>
    <w:rsid w:val="00A011D5"/>
    <w:rsid w:val="00A013CA"/>
    <w:rsid w:val="00A019F8"/>
    <w:rsid w:val="00A01B51"/>
    <w:rsid w:val="00A02082"/>
    <w:rsid w:val="00A03889"/>
    <w:rsid w:val="00A06376"/>
    <w:rsid w:val="00A07539"/>
    <w:rsid w:val="00A07A4E"/>
    <w:rsid w:val="00A146CA"/>
    <w:rsid w:val="00A14997"/>
    <w:rsid w:val="00A15F29"/>
    <w:rsid w:val="00A17225"/>
    <w:rsid w:val="00A17303"/>
    <w:rsid w:val="00A1798F"/>
    <w:rsid w:val="00A20F5A"/>
    <w:rsid w:val="00A218BF"/>
    <w:rsid w:val="00A2227C"/>
    <w:rsid w:val="00A22552"/>
    <w:rsid w:val="00A24A09"/>
    <w:rsid w:val="00A24EAF"/>
    <w:rsid w:val="00A2661B"/>
    <w:rsid w:val="00A2695C"/>
    <w:rsid w:val="00A270B3"/>
    <w:rsid w:val="00A2720F"/>
    <w:rsid w:val="00A300B8"/>
    <w:rsid w:val="00A3122A"/>
    <w:rsid w:val="00A35744"/>
    <w:rsid w:val="00A3658A"/>
    <w:rsid w:val="00A36AD4"/>
    <w:rsid w:val="00A37D6E"/>
    <w:rsid w:val="00A40662"/>
    <w:rsid w:val="00A41D2A"/>
    <w:rsid w:val="00A42D57"/>
    <w:rsid w:val="00A432B9"/>
    <w:rsid w:val="00A44ACE"/>
    <w:rsid w:val="00A44C7A"/>
    <w:rsid w:val="00A478A7"/>
    <w:rsid w:val="00A50A5C"/>
    <w:rsid w:val="00A511B3"/>
    <w:rsid w:val="00A53D65"/>
    <w:rsid w:val="00A56BB9"/>
    <w:rsid w:val="00A57521"/>
    <w:rsid w:val="00A600A7"/>
    <w:rsid w:val="00A603ED"/>
    <w:rsid w:val="00A626A4"/>
    <w:rsid w:val="00A6293C"/>
    <w:rsid w:val="00A62E62"/>
    <w:rsid w:val="00A63EA1"/>
    <w:rsid w:val="00A63FBF"/>
    <w:rsid w:val="00A64036"/>
    <w:rsid w:val="00A64386"/>
    <w:rsid w:val="00A64457"/>
    <w:rsid w:val="00A6470F"/>
    <w:rsid w:val="00A64879"/>
    <w:rsid w:val="00A67636"/>
    <w:rsid w:val="00A700BB"/>
    <w:rsid w:val="00A72A41"/>
    <w:rsid w:val="00A76FC2"/>
    <w:rsid w:val="00A76FF8"/>
    <w:rsid w:val="00A80A46"/>
    <w:rsid w:val="00A82362"/>
    <w:rsid w:val="00A82471"/>
    <w:rsid w:val="00A82665"/>
    <w:rsid w:val="00A83179"/>
    <w:rsid w:val="00A83756"/>
    <w:rsid w:val="00A8423E"/>
    <w:rsid w:val="00A84340"/>
    <w:rsid w:val="00A86120"/>
    <w:rsid w:val="00A8732D"/>
    <w:rsid w:val="00A92076"/>
    <w:rsid w:val="00A93608"/>
    <w:rsid w:val="00A93AC7"/>
    <w:rsid w:val="00A94246"/>
    <w:rsid w:val="00A94DA5"/>
    <w:rsid w:val="00A96279"/>
    <w:rsid w:val="00A96FB9"/>
    <w:rsid w:val="00AA266C"/>
    <w:rsid w:val="00AA3E39"/>
    <w:rsid w:val="00AA3ECB"/>
    <w:rsid w:val="00AA6C67"/>
    <w:rsid w:val="00AA7EE0"/>
    <w:rsid w:val="00AB0272"/>
    <w:rsid w:val="00AB10D6"/>
    <w:rsid w:val="00AB21C4"/>
    <w:rsid w:val="00AB21EB"/>
    <w:rsid w:val="00AB3464"/>
    <w:rsid w:val="00AB3B5E"/>
    <w:rsid w:val="00AB6191"/>
    <w:rsid w:val="00AB7D35"/>
    <w:rsid w:val="00AC1C88"/>
    <w:rsid w:val="00AC4BDC"/>
    <w:rsid w:val="00AC7B7A"/>
    <w:rsid w:val="00AD2A60"/>
    <w:rsid w:val="00AD2E62"/>
    <w:rsid w:val="00AD4823"/>
    <w:rsid w:val="00AD4FF4"/>
    <w:rsid w:val="00AD619F"/>
    <w:rsid w:val="00AD659C"/>
    <w:rsid w:val="00AD6785"/>
    <w:rsid w:val="00AE1080"/>
    <w:rsid w:val="00AE1ADC"/>
    <w:rsid w:val="00AE2EC1"/>
    <w:rsid w:val="00AE3929"/>
    <w:rsid w:val="00AE5553"/>
    <w:rsid w:val="00AE6116"/>
    <w:rsid w:val="00AF0493"/>
    <w:rsid w:val="00AF165B"/>
    <w:rsid w:val="00AF3C5C"/>
    <w:rsid w:val="00AF56DF"/>
    <w:rsid w:val="00AF65C3"/>
    <w:rsid w:val="00B0188C"/>
    <w:rsid w:val="00B01D40"/>
    <w:rsid w:val="00B06033"/>
    <w:rsid w:val="00B06BFA"/>
    <w:rsid w:val="00B07285"/>
    <w:rsid w:val="00B10291"/>
    <w:rsid w:val="00B102DC"/>
    <w:rsid w:val="00B10D13"/>
    <w:rsid w:val="00B119F3"/>
    <w:rsid w:val="00B14A5D"/>
    <w:rsid w:val="00B16F43"/>
    <w:rsid w:val="00B21C72"/>
    <w:rsid w:val="00B23CA3"/>
    <w:rsid w:val="00B242AA"/>
    <w:rsid w:val="00B2635F"/>
    <w:rsid w:val="00B2648A"/>
    <w:rsid w:val="00B26F85"/>
    <w:rsid w:val="00B35B33"/>
    <w:rsid w:val="00B421B9"/>
    <w:rsid w:val="00B42CBD"/>
    <w:rsid w:val="00B43A88"/>
    <w:rsid w:val="00B43C27"/>
    <w:rsid w:val="00B444A0"/>
    <w:rsid w:val="00B46601"/>
    <w:rsid w:val="00B476E3"/>
    <w:rsid w:val="00B51D14"/>
    <w:rsid w:val="00B52FD7"/>
    <w:rsid w:val="00B536A3"/>
    <w:rsid w:val="00B55372"/>
    <w:rsid w:val="00B55AB0"/>
    <w:rsid w:val="00B56923"/>
    <w:rsid w:val="00B56E07"/>
    <w:rsid w:val="00B574E0"/>
    <w:rsid w:val="00B62373"/>
    <w:rsid w:val="00B629D6"/>
    <w:rsid w:val="00B6360E"/>
    <w:rsid w:val="00B64F44"/>
    <w:rsid w:val="00B660FE"/>
    <w:rsid w:val="00B669DB"/>
    <w:rsid w:val="00B66A07"/>
    <w:rsid w:val="00B706E7"/>
    <w:rsid w:val="00B75815"/>
    <w:rsid w:val="00B7621B"/>
    <w:rsid w:val="00B76A0C"/>
    <w:rsid w:val="00B77483"/>
    <w:rsid w:val="00B77E9F"/>
    <w:rsid w:val="00B77EBE"/>
    <w:rsid w:val="00B8225A"/>
    <w:rsid w:val="00B82B94"/>
    <w:rsid w:val="00B834E6"/>
    <w:rsid w:val="00B836A0"/>
    <w:rsid w:val="00B84249"/>
    <w:rsid w:val="00B84667"/>
    <w:rsid w:val="00B8684F"/>
    <w:rsid w:val="00B87587"/>
    <w:rsid w:val="00B878D0"/>
    <w:rsid w:val="00B90901"/>
    <w:rsid w:val="00B90A03"/>
    <w:rsid w:val="00B94E34"/>
    <w:rsid w:val="00B95679"/>
    <w:rsid w:val="00B95FAC"/>
    <w:rsid w:val="00B962AE"/>
    <w:rsid w:val="00B9668A"/>
    <w:rsid w:val="00BA2124"/>
    <w:rsid w:val="00BA22ED"/>
    <w:rsid w:val="00BA2352"/>
    <w:rsid w:val="00BA5145"/>
    <w:rsid w:val="00BA53EC"/>
    <w:rsid w:val="00BA6439"/>
    <w:rsid w:val="00BA64A6"/>
    <w:rsid w:val="00BA7251"/>
    <w:rsid w:val="00BB0CD1"/>
    <w:rsid w:val="00BB0FB9"/>
    <w:rsid w:val="00BB1198"/>
    <w:rsid w:val="00BB1320"/>
    <w:rsid w:val="00BB3616"/>
    <w:rsid w:val="00BB49FA"/>
    <w:rsid w:val="00BB5EF8"/>
    <w:rsid w:val="00BB6054"/>
    <w:rsid w:val="00BB736A"/>
    <w:rsid w:val="00BB7D57"/>
    <w:rsid w:val="00BC15C7"/>
    <w:rsid w:val="00BC1826"/>
    <w:rsid w:val="00BC2969"/>
    <w:rsid w:val="00BC3556"/>
    <w:rsid w:val="00BC412A"/>
    <w:rsid w:val="00BC463F"/>
    <w:rsid w:val="00BC4657"/>
    <w:rsid w:val="00BC642F"/>
    <w:rsid w:val="00BC6F33"/>
    <w:rsid w:val="00BD0A09"/>
    <w:rsid w:val="00BD0B08"/>
    <w:rsid w:val="00BD547E"/>
    <w:rsid w:val="00BD6AE8"/>
    <w:rsid w:val="00BD7273"/>
    <w:rsid w:val="00BD7F4B"/>
    <w:rsid w:val="00BE117A"/>
    <w:rsid w:val="00BE1A05"/>
    <w:rsid w:val="00BE30B4"/>
    <w:rsid w:val="00BE313D"/>
    <w:rsid w:val="00BE3E73"/>
    <w:rsid w:val="00BE3EA5"/>
    <w:rsid w:val="00BE467F"/>
    <w:rsid w:val="00BE5FEF"/>
    <w:rsid w:val="00BF08DA"/>
    <w:rsid w:val="00BF1B96"/>
    <w:rsid w:val="00BF301D"/>
    <w:rsid w:val="00BF4050"/>
    <w:rsid w:val="00BF55F5"/>
    <w:rsid w:val="00BF6A21"/>
    <w:rsid w:val="00C00CCF"/>
    <w:rsid w:val="00C03E8F"/>
    <w:rsid w:val="00C04AEF"/>
    <w:rsid w:val="00C05D6C"/>
    <w:rsid w:val="00C06FE0"/>
    <w:rsid w:val="00C07628"/>
    <w:rsid w:val="00C1021D"/>
    <w:rsid w:val="00C107B6"/>
    <w:rsid w:val="00C11368"/>
    <w:rsid w:val="00C126E5"/>
    <w:rsid w:val="00C16EF7"/>
    <w:rsid w:val="00C2230E"/>
    <w:rsid w:val="00C256BB"/>
    <w:rsid w:val="00C3071C"/>
    <w:rsid w:val="00C34906"/>
    <w:rsid w:val="00C36B31"/>
    <w:rsid w:val="00C373EF"/>
    <w:rsid w:val="00C37A9C"/>
    <w:rsid w:val="00C40ECE"/>
    <w:rsid w:val="00C41A46"/>
    <w:rsid w:val="00C41B1E"/>
    <w:rsid w:val="00C439D7"/>
    <w:rsid w:val="00C43DAB"/>
    <w:rsid w:val="00C44191"/>
    <w:rsid w:val="00C46509"/>
    <w:rsid w:val="00C520DB"/>
    <w:rsid w:val="00C54EA0"/>
    <w:rsid w:val="00C5500B"/>
    <w:rsid w:val="00C55491"/>
    <w:rsid w:val="00C560BB"/>
    <w:rsid w:val="00C57276"/>
    <w:rsid w:val="00C60D14"/>
    <w:rsid w:val="00C64EF0"/>
    <w:rsid w:val="00C65025"/>
    <w:rsid w:val="00C656A4"/>
    <w:rsid w:val="00C656F1"/>
    <w:rsid w:val="00C67361"/>
    <w:rsid w:val="00C707B4"/>
    <w:rsid w:val="00C7164B"/>
    <w:rsid w:val="00C75C29"/>
    <w:rsid w:val="00C76ADE"/>
    <w:rsid w:val="00C7763B"/>
    <w:rsid w:val="00C84454"/>
    <w:rsid w:val="00C85C14"/>
    <w:rsid w:val="00C85DDD"/>
    <w:rsid w:val="00C86E68"/>
    <w:rsid w:val="00C87391"/>
    <w:rsid w:val="00C91034"/>
    <w:rsid w:val="00C9132B"/>
    <w:rsid w:val="00C914B3"/>
    <w:rsid w:val="00C91565"/>
    <w:rsid w:val="00C93427"/>
    <w:rsid w:val="00C937F1"/>
    <w:rsid w:val="00C97336"/>
    <w:rsid w:val="00CA0A1F"/>
    <w:rsid w:val="00CA2B3B"/>
    <w:rsid w:val="00CB0A68"/>
    <w:rsid w:val="00CB0EA6"/>
    <w:rsid w:val="00CB1021"/>
    <w:rsid w:val="00CB165D"/>
    <w:rsid w:val="00CB1A05"/>
    <w:rsid w:val="00CB1ED1"/>
    <w:rsid w:val="00CB5419"/>
    <w:rsid w:val="00CB58FE"/>
    <w:rsid w:val="00CB5991"/>
    <w:rsid w:val="00CC01C7"/>
    <w:rsid w:val="00CC097E"/>
    <w:rsid w:val="00CC179E"/>
    <w:rsid w:val="00CC34AA"/>
    <w:rsid w:val="00CC43D0"/>
    <w:rsid w:val="00CC4B05"/>
    <w:rsid w:val="00CC77EC"/>
    <w:rsid w:val="00CC7F42"/>
    <w:rsid w:val="00CD1107"/>
    <w:rsid w:val="00CD2528"/>
    <w:rsid w:val="00CD3CC8"/>
    <w:rsid w:val="00CD48B2"/>
    <w:rsid w:val="00CD6160"/>
    <w:rsid w:val="00CD6D5C"/>
    <w:rsid w:val="00CE137D"/>
    <w:rsid w:val="00CE18C7"/>
    <w:rsid w:val="00CE1B18"/>
    <w:rsid w:val="00CE2287"/>
    <w:rsid w:val="00CE520E"/>
    <w:rsid w:val="00CF16B9"/>
    <w:rsid w:val="00CF18C6"/>
    <w:rsid w:val="00CF3263"/>
    <w:rsid w:val="00CF4B29"/>
    <w:rsid w:val="00CF5AD9"/>
    <w:rsid w:val="00CF5CE3"/>
    <w:rsid w:val="00CF5FC8"/>
    <w:rsid w:val="00CF6239"/>
    <w:rsid w:val="00CF7C75"/>
    <w:rsid w:val="00D01A7C"/>
    <w:rsid w:val="00D01C00"/>
    <w:rsid w:val="00D03D49"/>
    <w:rsid w:val="00D04633"/>
    <w:rsid w:val="00D0662D"/>
    <w:rsid w:val="00D06F21"/>
    <w:rsid w:val="00D07FF6"/>
    <w:rsid w:val="00D13087"/>
    <w:rsid w:val="00D13327"/>
    <w:rsid w:val="00D13B18"/>
    <w:rsid w:val="00D13B7D"/>
    <w:rsid w:val="00D152FA"/>
    <w:rsid w:val="00D157EF"/>
    <w:rsid w:val="00D16299"/>
    <w:rsid w:val="00D17B21"/>
    <w:rsid w:val="00D201CB"/>
    <w:rsid w:val="00D203D1"/>
    <w:rsid w:val="00D22305"/>
    <w:rsid w:val="00D23542"/>
    <w:rsid w:val="00D23CE3"/>
    <w:rsid w:val="00D250A2"/>
    <w:rsid w:val="00D27ABE"/>
    <w:rsid w:val="00D32268"/>
    <w:rsid w:val="00D32710"/>
    <w:rsid w:val="00D32B86"/>
    <w:rsid w:val="00D32C9E"/>
    <w:rsid w:val="00D3320A"/>
    <w:rsid w:val="00D349D9"/>
    <w:rsid w:val="00D354A9"/>
    <w:rsid w:val="00D363AA"/>
    <w:rsid w:val="00D37FC6"/>
    <w:rsid w:val="00D40040"/>
    <w:rsid w:val="00D42A83"/>
    <w:rsid w:val="00D42C87"/>
    <w:rsid w:val="00D42D0F"/>
    <w:rsid w:val="00D431B4"/>
    <w:rsid w:val="00D45961"/>
    <w:rsid w:val="00D46A91"/>
    <w:rsid w:val="00D47D10"/>
    <w:rsid w:val="00D47D50"/>
    <w:rsid w:val="00D52934"/>
    <w:rsid w:val="00D53DA7"/>
    <w:rsid w:val="00D54E13"/>
    <w:rsid w:val="00D563A7"/>
    <w:rsid w:val="00D565EF"/>
    <w:rsid w:val="00D57FF9"/>
    <w:rsid w:val="00D6018D"/>
    <w:rsid w:val="00D6036C"/>
    <w:rsid w:val="00D60F4D"/>
    <w:rsid w:val="00D60FE0"/>
    <w:rsid w:val="00D61588"/>
    <w:rsid w:val="00D63940"/>
    <w:rsid w:val="00D64E13"/>
    <w:rsid w:val="00D65432"/>
    <w:rsid w:val="00D66E3A"/>
    <w:rsid w:val="00D67599"/>
    <w:rsid w:val="00D67F41"/>
    <w:rsid w:val="00D712D8"/>
    <w:rsid w:val="00D71B39"/>
    <w:rsid w:val="00D71C5C"/>
    <w:rsid w:val="00D71FC7"/>
    <w:rsid w:val="00D73BEE"/>
    <w:rsid w:val="00D73F99"/>
    <w:rsid w:val="00D746F9"/>
    <w:rsid w:val="00D80E82"/>
    <w:rsid w:val="00D80FAC"/>
    <w:rsid w:val="00D83DF8"/>
    <w:rsid w:val="00D83E37"/>
    <w:rsid w:val="00D843A0"/>
    <w:rsid w:val="00D84E77"/>
    <w:rsid w:val="00D86002"/>
    <w:rsid w:val="00D87B53"/>
    <w:rsid w:val="00D90F83"/>
    <w:rsid w:val="00D92B05"/>
    <w:rsid w:val="00D9351C"/>
    <w:rsid w:val="00D978DE"/>
    <w:rsid w:val="00DA14D1"/>
    <w:rsid w:val="00DA2867"/>
    <w:rsid w:val="00DA358C"/>
    <w:rsid w:val="00DA37D8"/>
    <w:rsid w:val="00DA3AB5"/>
    <w:rsid w:val="00DA5A58"/>
    <w:rsid w:val="00DA7DB9"/>
    <w:rsid w:val="00DB2290"/>
    <w:rsid w:val="00DB27FA"/>
    <w:rsid w:val="00DB35E6"/>
    <w:rsid w:val="00DB599A"/>
    <w:rsid w:val="00DB6512"/>
    <w:rsid w:val="00DB704A"/>
    <w:rsid w:val="00DC00F8"/>
    <w:rsid w:val="00DC057C"/>
    <w:rsid w:val="00DC0CF4"/>
    <w:rsid w:val="00DC1401"/>
    <w:rsid w:val="00DC4265"/>
    <w:rsid w:val="00DC4851"/>
    <w:rsid w:val="00DC5FEE"/>
    <w:rsid w:val="00DC6DA2"/>
    <w:rsid w:val="00DD0448"/>
    <w:rsid w:val="00DD0568"/>
    <w:rsid w:val="00DD3DC1"/>
    <w:rsid w:val="00DD49A8"/>
    <w:rsid w:val="00DD53B2"/>
    <w:rsid w:val="00DD55AB"/>
    <w:rsid w:val="00DD5C96"/>
    <w:rsid w:val="00DD6849"/>
    <w:rsid w:val="00DD6B94"/>
    <w:rsid w:val="00DE0600"/>
    <w:rsid w:val="00DE121F"/>
    <w:rsid w:val="00DE134C"/>
    <w:rsid w:val="00DE1CFE"/>
    <w:rsid w:val="00DE24CB"/>
    <w:rsid w:val="00DE3F4D"/>
    <w:rsid w:val="00DE3F9A"/>
    <w:rsid w:val="00DE4A3F"/>
    <w:rsid w:val="00DE647B"/>
    <w:rsid w:val="00DF0191"/>
    <w:rsid w:val="00DF1D32"/>
    <w:rsid w:val="00DF1FBE"/>
    <w:rsid w:val="00DF2B7F"/>
    <w:rsid w:val="00DF3A74"/>
    <w:rsid w:val="00DF3F43"/>
    <w:rsid w:val="00DF4CF8"/>
    <w:rsid w:val="00DF57FF"/>
    <w:rsid w:val="00DF5955"/>
    <w:rsid w:val="00E005D6"/>
    <w:rsid w:val="00E00C34"/>
    <w:rsid w:val="00E01211"/>
    <w:rsid w:val="00E04494"/>
    <w:rsid w:val="00E04BC9"/>
    <w:rsid w:val="00E05B37"/>
    <w:rsid w:val="00E07346"/>
    <w:rsid w:val="00E11BE3"/>
    <w:rsid w:val="00E11E8E"/>
    <w:rsid w:val="00E135C2"/>
    <w:rsid w:val="00E148D8"/>
    <w:rsid w:val="00E149B7"/>
    <w:rsid w:val="00E23E9E"/>
    <w:rsid w:val="00E27100"/>
    <w:rsid w:val="00E30E77"/>
    <w:rsid w:val="00E3269E"/>
    <w:rsid w:val="00E332EC"/>
    <w:rsid w:val="00E339A7"/>
    <w:rsid w:val="00E354E6"/>
    <w:rsid w:val="00E35856"/>
    <w:rsid w:val="00E35EBF"/>
    <w:rsid w:val="00E376D3"/>
    <w:rsid w:val="00E41843"/>
    <w:rsid w:val="00E4242B"/>
    <w:rsid w:val="00E42A1A"/>
    <w:rsid w:val="00E43793"/>
    <w:rsid w:val="00E438DB"/>
    <w:rsid w:val="00E44BFC"/>
    <w:rsid w:val="00E46C98"/>
    <w:rsid w:val="00E47F3D"/>
    <w:rsid w:val="00E50383"/>
    <w:rsid w:val="00E5095C"/>
    <w:rsid w:val="00E514C3"/>
    <w:rsid w:val="00E52ACB"/>
    <w:rsid w:val="00E5357B"/>
    <w:rsid w:val="00E54723"/>
    <w:rsid w:val="00E55129"/>
    <w:rsid w:val="00E553DF"/>
    <w:rsid w:val="00E554A4"/>
    <w:rsid w:val="00E578BF"/>
    <w:rsid w:val="00E60D8C"/>
    <w:rsid w:val="00E634CE"/>
    <w:rsid w:val="00E64332"/>
    <w:rsid w:val="00E673D5"/>
    <w:rsid w:val="00E70160"/>
    <w:rsid w:val="00E71E1F"/>
    <w:rsid w:val="00E733C3"/>
    <w:rsid w:val="00E73B15"/>
    <w:rsid w:val="00E73CFC"/>
    <w:rsid w:val="00E7543B"/>
    <w:rsid w:val="00E75E3D"/>
    <w:rsid w:val="00E75EBA"/>
    <w:rsid w:val="00E766E9"/>
    <w:rsid w:val="00E76CE3"/>
    <w:rsid w:val="00E8083A"/>
    <w:rsid w:val="00E82103"/>
    <w:rsid w:val="00E8247A"/>
    <w:rsid w:val="00E83730"/>
    <w:rsid w:val="00E83B42"/>
    <w:rsid w:val="00E84941"/>
    <w:rsid w:val="00E8745B"/>
    <w:rsid w:val="00E91599"/>
    <w:rsid w:val="00E91826"/>
    <w:rsid w:val="00E9366B"/>
    <w:rsid w:val="00E93844"/>
    <w:rsid w:val="00E96466"/>
    <w:rsid w:val="00E97071"/>
    <w:rsid w:val="00EA12B0"/>
    <w:rsid w:val="00EA1856"/>
    <w:rsid w:val="00EA1A78"/>
    <w:rsid w:val="00EA221A"/>
    <w:rsid w:val="00EA2274"/>
    <w:rsid w:val="00EA234E"/>
    <w:rsid w:val="00EA3315"/>
    <w:rsid w:val="00EA6387"/>
    <w:rsid w:val="00EA6BC2"/>
    <w:rsid w:val="00EB04EC"/>
    <w:rsid w:val="00EB05AD"/>
    <w:rsid w:val="00EB0C46"/>
    <w:rsid w:val="00EB1439"/>
    <w:rsid w:val="00EB2B8D"/>
    <w:rsid w:val="00EB4D11"/>
    <w:rsid w:val="00EB54C5"/>
    <w:rsid w:val="00EB559F"/>
    <w:rsid w:val="00EB5AD4"/>
    <w:rsid w:val="00EB62DD"/>
    <w:rsid w:val="00EB6A7D"/>
    <w:rsid w:val="00EC0C83"/>
    <w:rsid w:val="00EC2E6D"/>
    <w:rsid w:val="00EC2F5C"/>
    <w:rsid w:val="00EC3901"/>
    <w:rsid w:val="00EC4BD6"/>
    <w:rsid w:val="00EC66D2"/>
    <w:rsid w:val="00ED182E"/>
    <w:rsid w:val="00ED20D5"/>
    <w:rsid w:val="00ED37FE"/>
    <w:rsid w:val="00ED448E"/>
    <w:rsid w:val="00ED50CB"/>
    <w:rsid w:val="00ED6869"/>
    <w:rsid w:val="00ED6AE5"/>
    <w:rsid w:val="00EE12BC"/>
    <w:rsid w:val="00EE12DB"/>
    <w:rsid w:val="00EE161B"/>
    <w:rsid w:val="00EE2FA6"/>
    <w:rsid w:val="00EF0DB0"/>
    <w:rsid w:val="00EF156F"/>
    <w:rsid w:val="00EF5DF8"/>
    <w:rsid w:val="00EF6ECB"/>
    <w:rsid w:val="00F0080D"/>
    <w:rsid w:val="00F00B47"/>
    <w:rsid w:val="00F01870"/>
    <w:rsid w:val="00F01CD4"/>
    <w:rsid w:val="00F0218E"/>
    <w:rsid w:val="00F02730"/>
    <w:rsid w:val="00F03B3F"/>
    <w:rsid w:val="00F03D01"/>
    <w:rsid w:val="00F04FD1"/>
    <w:rsid w:val="00F058CF"/>
    <w:rsid w:val="00F05D53"/>
    <w:rsid w:val="00F06730"/>
    <w:rsid w:val="00F069F3"/>
    <w:rsid w:val="00F07446"/>
    <w:rsid w:val="00F10026"/>
    <w:rsid w:val="00F108E9"/>
    <w:rsid w:val="00F11225"/>
    <w:rsid w:val="00F121D2"/>
    <w:rsid w:val="00F135F8"/>
    <w:rsid w:val="00F1564F"/>
    <w:rsid w:val="00F15DEB"/>
    <w:rsid w:val="00F161EB"/>
    <w:rsid w:val="00F16FC8"/>
    <w:rsid w:val="00F20A1B"/>
    <w:rsid w:val="00F23A1A"/>
    <w:rsid w:val="00F2438A"/>
    <w:rsid w:val="00F24E61"/>
    <w:rsid w:val="00F25A14"/>
    <w:rsid w:val="00F25AAF"/>
    <w:rsid w:val="00F25F79"/>
    <w:rsid w:val="00F261D9"/>
    <w:rsid w:val="00F2627F"/>
    <w:rsid w:val="00F26C80"/>
    <w:rsid w:val="00F270D4"/>
    <w:rsid w:val="00F27129"/>
    <w:rsid w:val="00F2770A"/>
    <w:rsid w:val="00F30C54"/>
    <w:rsid w:val="00F31FF3"/>
    <w:rsid w:val="00F330EB"/>
    <w:rsid w:val="00F354D5"/>
    <w:rsid w:val="00F36429"/>
    <w:rsid w:val="00F36771"/>
    <w:rsid w:val="00F3690B"/>
    <w:rsid w:val="00F37391"/>
    <w:rsid w:val="00F37485"/>
    <w:rsid w:val="00F40B87"/>
    <w:rsid w:val="00F40E49"/>
    <w:rsid w:val="00F449CB"/>
    <w:rsid w:val="00F51F28"/>
    <w:rsid w:val="00F55893"/>
    <w:rsid w:val="00F56878"/>
    <w:rsid w:val="00F57A78"/>
    <w:rsid w:val="00F60282"/>
    <w:rsid w:val="00F63F3D"/>
    <w:rsid w:val="00F65069"/>
    <w:rsid w:val="00F65A96"/>
    <w:rsid w:val="00F66AF1"/>
    <w:rsid w:val="00F66C7A"/>
    <w:rsid w:val="00F704E9"/>
    <w:rsid w:val="00F70EE5"/>
    <w:rsid w:val="00F71EF9"/>
    <w:rsid w:val="00F7225C"/>
    <w:rsid w:val="00F749E2"/>
    <w:rsid w:val="00F74D32"/>
    <w:rsid w:val="00F75393"/>
    <w:rsid w:val="00F80281"/>
    <w:rsid w:val="00F81546"/>
    <w:rsid w:val="00F819AA"/>
    <w:rsid w:val="00F83C7D"/>
    <w:rsid w:val="00F85DE0"/>
    <w:rsid w:val="00F86673"/>
    <w:rsid w:val="00F90298"/>
    <w:rsid w:val="00F9171D"/>
    <w:rsid w:val="00F934D6"/>
    <w:rsid w:val="00F96B7F"/>
    <w:rsid w:val="00F979F9"/>
    <w:rsid w:val="00FA05EC"/>
    <w:rsid w:val="00FA4135"/>
    <w:rsid w:val="00FA4621"/>
    <w:rsid w:val="00FA5507"/>
    <w:rsid w:val="00FB008E"/>
    <w:rsid w:val="00FB02EC"/>
    <w:rsid w:val="00FB25C8"/>
    <w:rsid w:val="00FB27F9"/>
    <w:rsid w:val="00FB3639"/>
    <w:rsid w:val="00FB4B9D"/>
    <w:rsid w:val="00FB5117"/>
    <w:rsid w:val="00FC18A1"/>
    <w:rsid w:val="00FC218F"/>
    <w:rsid w:val="00FC3F6E"/>
    <w:rsid w:val="00FC43C8"/>
    <w:rsid w:val="00FC6663"/>
    <w:rsid w:val="00FC68EE"/>
    <w:rsid w:val="00FC6F97"/>
    <w:rsid w:val="00FC707E"/>
    <w:rsid w:val="00FC7701"/>
    <w:rsid w:val="00FC7A67"/>
    <w:rsid w:val="00FD0F25"/>
    <w:rsid w:val="00FD35D7"/>
    <w:rsid w:val="00FD4961"/>
    <w:rsid w:val="00FD5303"/>
    <w:rsid w:val="00FD5BAA"/>
    <w:rsid w:val="00FD5BDF"/>
    <w:rsid w:val="00FD5EDE"/>
    <w:rsid w:val="00FD70EF"/>
    <w:rsid w:val="00FE0081"/>
    <w:rsid w:val="00FE00D4"/>
    <w:rsid w:val="00FE097B"/>
    <w:rsid w:val="00FE2EA6"/>
    <w:rsid w:val="00FE7A40"/>
    <w:rsid w:val="00FF010D"/>
    <w:rsid w:val="00FF0D7A"/>
    <w:rsid w:val="00FF179C"/>
    <w:rsid w:val="00FF2668"/>
    <w:rsid w:val="00FF2AF1"/>
    <w:rsid w:val="00FF31D0"/>
    <w:rsid w:val="00FF6F0D"/>
    <w:rsid w:val="00FF7F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C4BD4"/>
  <w15:docId w15:val="{900ADDAC-8854-4447-B1B5-EDBC3D35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36C"/>
    <w:rPr>
      <w:rFonts w:ascii="Arial" w:hAnsi="Arial" w:cs="Arial"/>
      <w:sz w:val="22"/>
      <w:szCs w:val="22"/>
    </w:rPr>
  </w:style>
  <w:style w:type="paragraph" w:styleId="Ttulo1">
    <w:name w:val="heading 1"/>
    <w:basedOn w:val="Normal"/>
    <w:next w:val="Normal"/>
    <w:link w:val="Ttulo1Char"/>
    <w:uiPriority w:val="9"/>
    <w:qFormat/>
    <w:rsid w:val="000B21B4"/>
    <w:pPr>
      <w:keepNext/>
      <w:spacing w:after="200" w:line="276" w:lineRule="auto"/>
      <w:outlineLvl w:val="0"/>
    </w:pPr>
    <w:rPr>
      <w:rFonts w:asciiTheme="minorHAnsi" w:eastAsiaTheme="minorHAnsi" w:hAnsiTheme="minorHAnsi" w:cstheme="minorBidi"/>
      <w:u w:val="single"/>
      <w:lang w:eastAsia="en-US"/>
    </w:rPr>
  </w:style>
  <w:style w:type="paragraph" w:styleId="Ttulo2">
    <w:name w:val="heading 2"/>
    <w:basedOn w:val="Normal"/>
    <w:next w:val="Normal"/>
    <w:link w:val="Ttulo2Char"/>
    <w:uiPriority w:val="9"/>
    <w:semiHidden/>
    <w:unhideWhenUsed/>
    <w:qFormat/>
    <w:rsid w:val="006120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41749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rsid w:val="0043400B"/>
    <w:pPr>
      <w:jc w:val="both"/>
    </w:pPr>
  </w:style>
  <w:style w:type="paragraph" w:styleId="PargrafodaLista">
    <w:name w:val="List Paragraph"/>
    <w:basedOn w:val="Normal"/>
    <w:uiPriority w:val="34"/>
    <w:qFormat/>
    <w:rsid w:val="0073185B"/>
    <w:pPr>
      <w:ind w:left="720"/>
      <w:contextualSpacing/>
    </w:pPr>
  </w:style>
  <w:style w:type="paragraph" w:styleId="Textodenotaderodap">
    <w:name w:val="footnote text"/>
    <w:aliases w:val="SEL - Texto de nota de rodapé"/>
    <w:basedOn w:val="Normal"/>
    <w:link w:val="TextodenotaderodapChar"/>
    <w:uiPriority w:val="99"/>
    <w:unhideWhenUsed/>
    <w:rsid w:val="00E148D8"/>
    <w:rPr>
      <w:sz w:val="20"/>
      <w:szCs w:val="20"/>
    </w:rPr>
  </w:style>
  <w:style w:type="character" w:customStyle="1" w:styleId="TextodenotaderodapChar">
    <w:name w:val="Texto de nota de rodapé Char"/>
    <w:aliases w:val="SEL - Texto de nota de rodapé Char"/>
    <w:basedOn w:val="Fontepargpadro"/>
    <w:link w:val="Textodenotaderodap"/>
    <w:uiPriority w:val="99"/>
    <w:rsid w:val="00E148D8"/>
    <w:rPr>
      <w:rFonts w:ascii="Arial" w:hAnsi="Arial" w:cs="Arial"/>
    </w:rPr>
  </w:style>
  <w:style w:type="character" w:styleId="Refdenotaderodap">
    <w:name w:val="footnote reference"/>
    <w:basedOn w:val="Fontepargpadro"/>
    <w:uiPriority w:val="99"/>
    <w:semiHidden/>
    <w:unhideWhenUsed/>
    <w:rsid w:val="00E148D8"/>
    <w:rPr>
      <w:vertAlign w:val="superscript"/>
    </w:rPr>
  </w:style>
  <w:style w:type="paragraph" w:styleId="Textodebalo">
    <w:name w:val="Balloon Text"/>
    <w:basedOn w:val="Normal"/>
    <w:link w:val="TextodebaloChar"/>
    <w:uiPriority w:val="99"/>
    <w:unhideWhenUsed/>
    <w:rsid w:val="00EE2FA6"/>
    <w:rPr>
      <w:rFonts w:ascii="Tahoma" w:hAnsi="Tahoma" w:cs="Tahoma"/>
      <w:sz w:val="16"/>
      <w:szCs w:val="16"/>
    </w:rPr>
  </w:style>
  <w:style w:type="character" w:customStyle="1" w:styleId="TextodebaloChar">
    <w:name w:val="Texto de balão Char"/>
    <w:basedOn w:val="Fontepargpadro"/>
    <w:link w:val="Textodebalo"/>
    <w:uiPriority w:val="99"/>
    <w:rsid w:val="00EE2FA6"/>
    <w:rPr>
      <w:rFonts w:ascii="Tahoma" w:hAnsi="Tahoma" w:cs="Tahoma"/>
      <w:sz w:val="16"/>
      <w:szCs w:val="16"/>
    </w:rPr>
  </w:style>
  <w:style w:type="paragraph" w:customStyle="1" w:styleId="Default">
    <w:name w:val="Default"/>
    <w:rsid w:val="00B878D0"/>
    <w:pPr>
      <w:autoSpaceDE w:val="0"/>
      <w:autoSpaceDN w:val="0"/>
      <w:adjustRightInd w:val="0"/>
    </w:pPr>
    <w:rPr>
      <w:color w:val="000000"/>
      <w:sz w:val="24"/>
      <w:szCs w:val="24"/>
    </w:rPr>
  </w:style>
  <w:style w:type="paragraph" w:styleId="Cabealho">
    <w:name w:val="header"/>
    <w:basedOn w:val="Normal"/>
    <w:link w:val="CabealhoChar"/>
    <w:uiPriority w:val="99"/>
    <w:unhideWhenUsed/>
    <w:rsid w:val="00756A2E"/>
    <w:pPr>
      <w:tabs>
        <w:tab w:val="center" w:pos="4252"/>
        <w:tab w:val="right" w:pos="8504"/>
      </w:tabs>
    </w:pPr>
  </w:style>
  <w:style w:type="character" w:customStyle="1" w:styleId="CabealhoChar">
    <w:name w:val="Cabeçalho Char"/>
    <w:basedOn w:val="Fontepargpadro"/>
    <w:link w:val="Cabealho"/>
    <w:uiPriority w:val="99"/>
    <w:rsid w:val="00756A2E"/>
    <w:rPr>
      <w:rFonts w:ascii="Arial" w:hAnsi="Arial" w:cs="Arial"/>
      <w:sz w:val="22"/>
      <w:szCs w:val="22"/>
    </w:rPr>
  </w:style>
  <w:style w:type="paragraph" w:styleId="Rodap">
    <w:name w:val="footer"/>
    <w:basedOn w:val="Normal"/>
    <w:link w:val="RodapChar"/>
    <w:uiPriority w:val="99"/>
    <w:unhideWhenUsed/>
    <w:rsid w:val="00756A2E"/>
    <w:pPr>
      <w:tabs>
        <w:tab w:val="center" w:pos="4252"/>
        <w:tab w:val="right" w:pos="8504"/>
      </w:tabs>
    </w:pPr>
  </w:style>
  <w:style w:type="character" w:customStyle="1" w:styleId="RodapChar">
    <w:name w:val="Rodapé Char"/>
    <w:basedOn w:val="Fontepargpadro"/>
    <w:link w:val="Rodap"/>
    <w:uiPriority w:val="99"/>
    <w:rsid w:val="00756A2E"/>
    <w:rPr>
      <w:rFonts w:ascii="Arial" w:hAnsi="Arial" w:cs="Arial"/>
      <w:sz w:val="22"/>
      <w:szCs w:val="22"/>
    </w:rPr>
  </w:style>
  <w:style w:type="character" w:customStyle="1" w:styleId="Ttulo1Char">
    <w:name w:val="Título 1 Char"/>
    <w:basedOn w:val="Fontepargpadro"/>
    <w:link w:val="Ttulo1"/>
    <w:uiPriority w:val="9"/>
    <w:rsid w:val="000B21B4"/>
    <w:rPr>
      <w:rFonts w:asciiTheme="minorHAnsi" w:eastAsiaTheme="minorHAnsi" w:hAnsiTheme="minorHAnsi" w:cstheme="minorBidi"/>
      <w:sz w:val="22"/>
      <w:szCs w:val="22"/>
      <w:u w:val="single"/>
      <w:lang w:eastAsia="en-US"/>
    </w:rPr>
  </w:style>
  <w:style w:type="paragraph" w:styleId="Corpodetexto">
    <w:name w:val="Body Text"/>
    <w:basedOn w:val="Normal"/>
    <w:link w:val="CorpodetextoChar"/>
    <w:uiPriority w:val="99"/>
    <w:unhideWhenUsed/>
    <w:rsid w:val="000B21B4"/>
    <w:pPr>
      <w:spacing w:after="200" w:line="276" w:lineRule="auto"/>
      <w:jc w:val="both"/>
    </w:pPr>
    <w:rPr>
      <w:rFonts w:asciiTheme="minorHAnsi" w:eastAsiaTheme="minorHAnsi" w:hAnsiTheme="minorHAnsi" w:cstheme="minorBidi"/>
      <w:sz w:val="24"/>
      <w:lang w:eastAsia="en-US"/>
    </w:rPr>
  </w:style>
  <w:style w:type="character" w:customStyle="1" w:styleId="CorpodetextoChar">
    <w:name w:val="Corpo de texto Char"/>
    <w:basedOn w:val="Fontepargpadro"/>
    <w:link w:val="Corpodetexto"/>
    <w:uiPriority w:val="99"/>
    <w:rsid w:val="000B21B4"/>
    <w:rPr>
      <w:rFonts w:asciiTheme="minorHAnsi" w:eastAsiaTheme="minorHAnsi" w:hAnsiTheme="minorHAnsi" w:cstheme="minorBidi"/>
      <w:sz w:val="24"/>
      <w:szCs w:val="22"/>
      <w:lang w:eastAsia="en-US"/>
    </w:rPr>
  </w:style>
  <w:style w:type="paragraph" w:styleId="Corpodetexto2">
    <w:name w:val="Body Text 2"/>
    <w:basedOn w:val="Normal"/>
    <w:link w:val="Corpodetexto2Char"/>
    <w:uiPriority w:val="99"/>
    <w:unhideWhenUsed/>
    <w:rsid w:val="000B21B4"/>
    <w:pPr>
      <w:spacing w:after="200" w:line="276" w:lineRule="auto"/>
      <w:jc w:val="both"/>
    </w:pPr>
    <w:rPr>
      <w:rFonts w:asciiTheme="minorHAnsi" w:eastAsiaTheme="minorHAnsi" w:hAnsiTheme="minorHAnsi" w:cstheme="minorBidi"/>
      <w:lang w:eastAsia="en-US"/>
    </w:rPr>
  </w:style>
  <w:style w:type="character" w:customStyle="1" w:styleId="Corpodetexto2Char">
    <w:name w:val="Corpo de texto 2 Char"/>
    <w:basedOn w:val="Fontepargpadro"/>
    <w:link w:val="Corpodetexto2"/>
    <w:uiPriority w:val="99"/>
    <w:rsid w:val="000B21B4"/>
    <w:rPr>
      <w:rFonts w:asciiTheme="minorHAnsi" w:eastAsiaTheme="minorHAnsi" w:hAnsiTheme="minorHAnsi" w:cstheme="minorBidi"/>
      <w:sz w:val="22"/>
      <w:szCs w:val="22"/>
      <w:lang w:eastAsia="en-US"/>
    </w:rPr>
  </w:style>
  <w:style w:type="paragraph" w:styleId="SemEspaamento">
    <w:name w:val="No Spacing"/>
    <w:uiPriority w:val="1"/>
    <w:qFormat/>
    <w:rsid w:val="000B21B4"/>
    <w:rPr>
      <w:rFonts w:ascii="Optimum" w:hAnsi="Optimum"/>
      <w:sz w:val="24"/>
      <w:szCs w:val="24"/>
    </w:rPr>
  </w:style>
  <w:style w:type="character" w:styleId="Hyperlink">
    <w:name w:val="Hyperlink"/>
    <w:basedOn w:val="Fontepargpadro"/>
    <w:uiPriority w:val="99"/>
    <w:unhideWhenUsed/>
    <w:rsid w:val="000B21B4"/>
    <w:rPr>
      <w:color w:val="0000FF" w:themeColor="hyperlink"/>
      <w:u w:val="single"/>
    </w:rPr>
  </w:style>
  <w:style w:type="character" w:customStyle="1" w:styleId="apple-converted-space">
    <w:name w:val="apple-converted-space"/>
    <w:basedOn w:val="Fontepargpadro"/>
    <w:rsid w:val="004A76D6"/>
  </w:style>
  <w:style w:type="character" w:styleId="nfase">
    <w:name w:val="Emphasis"/>
    <w:basedOn w:val="Fontepargpadro"/>
    <w:uiPriority w:val="20"/>
    <w:qFormat/>
    <w:rsid w:val="004A76D6"/>
    <w:rPr>
      <w:i/>
      <w:iCs/>
    </w:rPr>
  </w:style>
  <w:style w:type="paragraph" w:customStyle="1" w:styleId="texto-lca">
    <w:name w:val="texto-lca"/>
    <w:basedOn w:val="Normal"/>
    <w:rsid w:val="005122F8"/>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4018F6"/>
    <w:pPr>
      <w:spacing w:before="100" w:beforeAutospacing="1" w:after="100" w:afterAutospacing="1"/>
    </w:pPr>
    <w:rPr>
      <w:rFonts w:ascii="Times New Roman" w:hAnsi="Times New Roman" w:cs="Times New Roman"/>
      <w:sz w:val="24"/>
      <w:szCs w:val="24"/>
    </w:rPr>
  </w:style>
  <w:style w:type="character" w:styleId="TextodoEspaoReservado">
    <w:name w:val="Placeholder Text"/>
    <w:basedOn w:val="Fontepargpadro"/>
    <w:uiPriority w:val="99"/>
    <w:semiHidden/>
    <w:rsid w:val="00DE121F"/>
    <w:rPr>
      <w:color w:val="808080"/>
    </w:rPr>
  </w:style>
  <w:style w:type="table" w:styleId="Tabelacomgrade">
    <w:name w:val="Table Grid"/>
    <w:basedOn w:val="Tabelanormal"/>
    <w:uiPriority w:val="39"/>
    <w:rsid w:val="00100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2E76F9"/>
    <w:rPr>
      <w:sz w:val="16"/>
      <w:szCs w:val="16"/>
    </w:rPr>
  </w:style>
  <w:style w:type="paragraph" w:styleId="Textodecomentrio">
    <w:name w:val="annotation text"/>
    <w:basedOn w:val="Normal"/>
    <w:link w:val="TextodecomentrioChar"/>
    <w:uiPriority w:val="99"/>
    <w:unhideWhenUsed/>
    <w:rsid w:val="002E76F9"/>
    <w:rPr>
      <w:sz w:val="20"/>
      <w:szCs w:val="20"/>
    </w:rPr>
  </w:style>
  <w:style w:type="character" w:customStyle="1" w:styleId="TextodecomentrioChar">
    <w:name w:val="Texto de comentário Char"/>
    <w:basedOn w:val="Fontepargpadro"/>
    <w:link w:val="Textodecomentrio"/>
    <w:uiPriority w:val="99"/>
    <w:rsid w:val="002E76F9"/>
    <w:rPr>
      <w:rFonts w:ascii="Arial" w:hAnsi="Arial" w:cs="Arial"/>
    </w:rPr>
  </w:style>
  <w:style w:type="paragraph" w:styleId="Assuntodocomentrio">
    <w:name w:val="annotation subject"/>
    <w:basedOn w:val="Textodecomentrio"/>
    <w:next w:val="Textodecomentrio"/>
    <w:link w:val="AssuntodocomentrioChar"/>
    <w:uiPriority w:val="99"/>
    <w:semiHidden/>
    <w:unhideWhenUsed/>
    <w:rsid w:val="002E76F9"/>
    <w:rPr>
      <w:b/>
      <w:bCs/>
    </w:rPr>
  </w:style>
  <w:style w:type="character" w:customStyle="1" w:styleId="AssuntodocomentrioChar">
    <w:name w:val="Assunto do comentário Char"/>
    <w:basedOn w:val="TextodecomentrioChar"/>
    <w:link w:val="Assuntodocomentrio"/>
    <w:uiPriority w:val="99"/>
    <w:semiHidden/>
    <w:rsid w:val="002E76F9"/>
    <w:rPr>
      <w:rFonts w:ascii="Arial" w:hAnsi="Arial" w:cs="Arial"/>
      <w:b/>
      <w:bCs/>
    </w:rPr>
  </w:style>
  <w:style w:type="character" w:customStyle="1" w:styleId="Ttulo3Char">
    <w:name w:val="Título 3 Char"/>
    <w:basedOn w:val="Fontepargpadro"/>
    <w:link w:val="Ttulo3"/>
    <w:uiPriority w:val="9"/>
    <w:semiHidden/>
    <w:rsid w:val="0041749A"/>
    <w:rPr>
      <w:rFonts w:asciiTheme="majorHAnsi" w:eastAsiaTheme="majorEastAsia" w:hAnsiTheme="majorHAnsi" w:cstheme="majorBidi"/>
      <w:b/>
      <w:bCs/>
      <w:color w:val="4F81BD" w:themeColor="accent1"/>
      <w:sz w:val="22"/>
      <w:szCs w:val="22"/>
    </w:rPr>
  </w:style>
  <w:style w:type="character" w:customStyle="1" w:styleId="left">
    <w:name w:val="left"/>
    <w:basedOn w:val="Fontepargpadro"/>
    <w:rsid w:val="00626C64"/>
  </w:style>
  <w:style w:type="paragraph" w:styleId="Reviso">
    <w:name w:val="Revision"/>
    <w:hidden/>
    <w:uiPriority w:val="99"/>
    <w:semiHidden/>
    <w:rsid w:val="00C84454"/>
    <w:rPr>
      <w:rFonts w:ascii="Arial" w:hAnsi="Arial" w:cs="Arial"/>
      <w:sz w:val="22"/>
      <w:szCs w:val="22"/>
    </w:rPr>
  </w:style>
  <w:style w:type="character" w:styleId="Forte">
    <w:name w:val="Strong"/>
    <w:basedOn w:val="Fontepargpadro"/>
    <w:uiPriority w:val="22"/>
    <w:qFormat/>
    <w:rsid w:val="00D83DF8"/>
    <w:rPr>
      <w:b/>
      <w:bCs/>
    </w:rPr>
  </w:style>
  <w:style w:type="table" w:styleId="SombreamentoClaro-nfase1">
    <w:name w:val="Light Shading Accent 1"/>
    <w:basedOn w:val="Tabelanormal"/>
    <w:uiPriority w:val="60"/>
    <w:rsid w:val="001819B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nfase3">
    <w:name w:val="Light Shading Accent 3"/>
    <w:basedOn w:val="Tabelanormal"/>
    <w:uiPriority w:val="60"/>
    <w:rsid w:val="007F16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Ttulo2Char">
    <w:name w:val="Título 2 Char"/>
    <w:basedOn w:val="Fontepargpadro"/>
    <w:link w:val="Ttulo2"/>
    <w:uiPriority w:val="9"/>
    <w:semiHidden/>
    <w:rsid w:val="006120DF"/>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har"/>
    <w:uiPriority w:val="10"/>
    <w:qFormat/>
    <w:rsid w:val="006120DF"/>
    <w:pPr>
      <w:spacing w:after="360" w:line="259" w:lineRule="auto"/>
      <w:jc w:val="center"/>
    </w:pPr>
    <w:rPr>
      <w:rFonts w:asciiTheme="minorHAnsi" w:eastAsiaTheme="minorHAnsi" w:hAnsiTheme="minorHAnsi" w:cstheme="minorBidi"/>
      <w:b/>
      <w:u w:val="single"/>
      <w:lang w:eastAsia="en-US"/>
    </w:rPr>
  </w:style>
  <w:style w:type="character" w:customStyle="1" w:styleId="TtuloChar">
    <w:name w:val="Título Char"/>
    <w:basedOn w:val="Fontepargpadro"/>
    <w:link w:val="Ttulo"/>
    <w:uiPriority w:val="10"/>
    <w:rsid w:val="006120DF"/>
    <w:rPr>
      <w:rFonts w:asciiTheme="minorHAnsi" w:eastAsiaTheme="minorHAnsi" w:hAnsiTheme="minorHAnsi" w:cstheme="minorBidi"/>
      <w:b/>
      <w:sz w:val="22"/>
      <w:szCs w:val="22"/>
      <w:u w:val="single"/>
      <w:lang w:eastAsia="en-US"/>
    </w:rPr>
  </w:style>
  <w:style w:type="paragraph" w:styleId="Pr-formataoHTML">
    <w:name w:val="HTML Preformatted"/>
    <w:basedOn w:val="Normal"/>
    <w:link w:val="Pr-formataoHTMLChar"/>
    <w:uiPriority w:val="99"/>
    <w:unhideWhenUsed/>
    <w:rsid w:val="0059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59440C"/>
    <w:rPr>
      <w:rFonts w:ascii="Courier New" w:hAnsi="Courier New" w:cs="Courier New"/>
    </w:rPr>
  </w:style>
  <w:style w:type="paragraph" w:styleId="Recuodecorpodetexto">
    <w:name w:val="Body Text Indent"/>
    <w:basedOn w:val="Normal"/>
    <w:link w:val="RecuodecorpodetextoChar"/>
    <w:uiPriority w:val="99"/>
    <w:unhideWhenUsed/>
    <w:rsid w:val="00082D46"/>
    <w:pPr>
      <w:spacing w:after="120"/>
      <w:ind w:left="283"/>
    </w:pPr>
  </w:style>
  <w:style w:type="character" w:customStyle="1" w:styleId="RecuodecorpodetextoChar">
    <w:name w:val="Recuo de corpo de texto Char"/>
    <w:basedOn w:val="Fontepargpadro"/>
    <w:link w:val="Recuodecorpodetexto"/>
    <w:uiPriority w:val="99"/>
    <w:rsid w:val="00082D46"/>
    <w:rPr>
      <w:rFonts w:ascii="Arial" w:hAnsi="Arial" w:cs="Arial"/>
      <w:sz w:val="22"/>
      <w:szCs w:val="22"/>
    </w:rPr>
  </w:style>
  <w:style w:type="character" w:customStyle="1" w:styleId="UnresolvedMention">
    <w:name w:val="Unresolved Mention"/>
    <w:basedOn w:val="Fontepargpadro"/>
    <w:uiPriority w:val="99"/>
    <w:semiHidden/>
    <w:unhideWhenUsed/>
    <w:rsid w:val="00375729"/>
    <w:rPr>
      <w:color w:val="605E5C"/>
      <w:shd w:val="clear" w:color="auto" w:fill="E1DFDD"/>
    </w:rPr>
  </w:style>
  <w:style w:type="character" w:styleId="HiperlinkVisitado">
    <w:name w:val="FollowedHyperlink"/>
    <w:basedOn w:val="Fontepargpadro"/>
    <w:uiPriority w:val="99"/>
    <w:semiHidden/>
    <w:unhideWhenUsed/>
    <w:rsid w:val="00057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4655">
      <w:bodyDiv w:val="1"/>
      <w:marLeft w:val="0"/>
      <w:marRight w:val="0"/>
      <w:marTop w:val="0"/>
      <w:marBottom w:val="0"/>
      <w:divBdr>
        <w:top w:val="none" w:sz="0" w:space="0" w:color="auto"/>
        <w:left w:val="none" w:sz="0" w:space="0" w:color="auto"/>
        <w:bottom w:val="none" w:sz="0" w:space="0" w:color="auto"/>
        <w:right w:val="none" w:sz="0" w:space="0" w:color="auto"/>
      </w:divBdr>
    </w:div>
    <w:div w:id="295915061">
      <w:bodyDiv w:val="1"/>
      <w:marLeft w:val="0"/>
      <w:marRight w:val="0"/>
      <w:marTop w:val="0"/>
      <w:marBottom w:val="0"/>
      <w:divBdr>
        <w:top w:val="none" w:sz="0" w:space="0" w:color="auto"/>
        <w:left w:val="none" w:sz="0" w:space="0" w:color="auto"/>
        <w:bottom w:val="none" w:sz="0" w:space="0" w:color="auto"/>
        <w:right w:val="none" w:sz="0" w:space="0" w:color="auto"/>
      </w:divBdr>
    </w:div>
    <w:div w:id="443112397">
      <w:bodyDiv w:val="1"/>
      <w:marLeft w:val="0"/>
      <w:marRight w:val="0"/>
      <w:marTop w:val="0"/>
      <w:marBottom w:val="0"/>
      <w:divBdr>
        <w:top w:val="none" w:sz="0" w:space="0" w:color="auto"/>
        <w:left w:val="none" w:sz="0" w:space="0" w:color="auto"/>
        <w:bottom w:val="none" w:sz="0" w:space="0" w:color="auto"/>
        <w:right w:val="none" w:sz="0" w:space="0" w:color="auto"/>
      </w:divBdr>
    </w:div>
    <w:div w:id="462962615">
      <w:bodyDiv w:val="1"/>
      <w:marLeft w:val="0"/>
      <w:marRight w:val="0"/>
      <w:marTop w:val="0"/>
      <w:marBottom w:val="0"/>
      <w:divBdr>
        <w:top w:val="none" w:sz="0" w:space="0" w:color="auto"/>
        <w:left w:val="none" w:sz="0" w:space="0" w:color="auto"/>
        <w:bottom w:val="none" w:sz="0" w:space="0" w:color="auto"/>
        <w:right w:val="none" w:sz="0" w:space="0" w:color="auto"/>
      </w:divBdr>
    </w:div>
    <w:div w:id="533882183">
      <w:bodyDiv w:val="1"/>
      <w:marLeft w:val="0"/>
      <w:marRight w:val="0"/>
      <w:marTop w:val="0"/>
      <w:marBottom w:val="0"/>
      <w:divBdr>
        <w:top w:val="none" w:sz="0" w:space="0" w:color="auto"/>
        <w:left w:val="none" w:sz="0" w:space="0" w:color="auto"/>
        <w:bottom w:val="none" w:sz="0" w:space="0" w:color="auto"/>
        <w:right w:val="none" w:sz="0" w:space="0" w:color="auto"/>
      </w:divBdr>
    </w:div>
    <w:div w:id="695540952">
      <w:bodyDiv w:val="1"/>
      <w:marLeft w:val="0"/>
      <w:marRight w:val="0"/>
      <w:marTop w:val="0"/>
      <w:marBottom w:val="0"/>
      <w:divBdr>
        <w:top w:val="none" w:sz="0" w:space="0" w:color="auto"/>
        <w:left w:val="none" w:sz="0" w:space="0" w:color="auto"/>
        <w:bottom w:val="none" w:sz="0" w:space="0" w:color="auto"/>
        <w:right w:val="none" w:sz="0" w:space="0" w:color="auto"/>
      </w:divBdr>
    </w:div>
    <w:div w:id="780998195">
      <w:bodyDiv w:val="1"/>
      <w:marLeft w:val="0"/>
      <w:marRight w:val="0"/>
      <w:marTop w:val="0"/>
      <w:marBottom w:val="0"/>
      <w:divBdr>
        <w:top w:val="none" w:sz="0" w:space="0" w:color="auto"/>
        <w:left w:val="none" w:sz="0" w:space="0" w:color="auto"/>
        <w:bottom w:val="none" w:sz="0" w:space="0" w:color="auto"/>
        <w:right w:val="none" w:sz="0" w:space="0" w:color="auto"/>
      </w:divBdr>
    </w:div>
    <w:div w:id="863248944">
      <w:bodyDiv w:val="1"/>
      <w:marLeft w:val="0"/>
      <w:marRight w:val="0"/>
      <w:marTop w:val="0"/>
      <w:marBottom w:val="0"/>
      <w:divBdr>
        <w:top w:val="none" w:sz="0" w:space="0" w:color="auto"/>
        <w:left w:val="none" w:sz="0" w:space="0" w:color="auto"/>
        <w:bottom w:val="none" w:sz="0" w:space="0" w:color="auto"/>
        <w:right w:val="none" w:sz="0" w:space="0" w:color="auto"/>
      </w:divBdr>
    </w:div>
    <w:div w:id="878009284">
      <w:bodyDiv w:val="1"/>
      <w:marLeft w:val="0"/>
      <w:marRight w:val="0"/>
      <w:marTop w:val="0"/>
      <w:marBottom w:val="0"/>
      <w:divBdr>
        <w:top w:val="none" w:sz="0" w:space="0" w:color="auto"/>
        <w:left w:val="none" w:sz="0" w:space="0" w:color="auto"/>
        <w:bottom w:val="none" w:sz="0" w:space="0" w:color="auto"/>
        <w:right w:val="none" w:sz="0" w:space="0" w:color="auto"/>
      </w:divBdr>
    </w:div>
    <w:div w:id="969822161">
      <w:bodyDiv w:val="1"/>
      <w:marLeft w:val="0"/>
      <w:marRight w:val="0"/>
      <w:marTop w:val="0"/>
      <w:marBottom w:val="0"/>
      <w:divBdr>
        <w:top w:val="none" w:sz="0" w:space="0" w:color="auto"/>
        <w:left w:val="none" w:sz="0" w:space="0" w:color="auto"/>
        <w:bottom w:val="none" w:sz="0" w:space="0" w:color="auto"/>
        <w:right w:val="none" w:sz="0" w:space="0" w:color="auto"/>
      </w:divBdr>
    </w:div>
    <w:div w:id="1047610100">
      <w:bodyDiv w:val="1"/>
      <w:marLeft w:val="0"/>
      <w:marRight w:val="0"/>
      <w:marTop w:val="0"/>
      <w:marBottom w:val="0"/>
      <w:divBdr>
        <w:top w:val="none" w:sz="0" w:space="0" w:color="auto"/>
        <w:left w:val="none" w:sz="0" w:space="0" w:color="auto"/>
        <w:bottom w:val="none" w:sz="0" w:space="0" w:color="auto"/>
        <w:right w:val="none" w:sz="0" w:space="0" w:color="auto"/>
      </w:divBdr>
    </w:div>
    <w:div w:id="1069108995">
      <w:bodyDiv w:val="1"/>
      <w:marLeft w:val="0"/>
      <w:marRight w:val="0"/>
      <w:marTop w:val="0"/>
      <w:marBottom w:val="0"/>
      <w:divBdr>
        <w:top w:val="none" w:sz="0" w:space="0" w:color="auto"/>
        <w:left w:val="none" w:sz="0" w:space="0" w:color="auto"/>
        <w:bottom w:val="none" w:sz="0" w:space="0" w:color="auto"/>
        <w:right w:val="none" w:sz="0" w:space="0" w:color="auto"/>
      </w:divBdr>
    </w:div>
    <w:div w:id="1073894035">
      <w:bodyDiv w:val="1"/>
      <w:marLeft w:val="0"/>
      <w:marRight w:val="0"/>
      <w:marTop w:val="0"/>
      <w:marBottom w:val="0"/>
      <w:divBdr>
        <w:top w:val="none" w:sz="0" w:space="0" w:color="auto"/>
        <w:left w:val="none" w:sz="0" w:space="0" w:color="auto"/>
        <w:bottom w:val="none" w:sz="0" w:space="0" w:color="auto"/>
        <w:right w:val="none" w:sz="0" w:space="0" w:color="auto"/>
      </w:divBdr>
      <w:divsChild>
        <w:div w:id="876771898">
          <w:marLeft w:val="547"/>
          <w:marRight w:val="0"/>
          <w:marTop w:val="0"/>
          <w:marBottom w:val="0"/>
          <w:divBdr>
            <w:top w:val="none" w:sz="0" w:space="0" w:color="auto"/>
            <w:left w:val="none" w:sz="0" w:space="0" w:color="auto"/>
            <w:bottom w:val="none" w:sz="0" w:space="0" w:color="auto"/>
            <w:right w:val="none" w:sz="0" w:space="0" w:color="auto"/>
          </w:divBdr>
        </w:div>
        <w:div w:id="587202685">
          <w:marLeft w:val="547"/>
          <w:marRight w:val="0"/>
          <w:marTop w:val="0"/>
          <w:marBottom w:val="0"/>
          <w:divBdr>
            <w:top w:val="none" w:sz="0" w:space="0" w:color="auto"/>
            <w:left w:val="none" w:sz="0" w:space="0" w:color="auto"/>
            <w:bottom w:val="none" w:sz="0" w:space="0" w:color="auto"/>
            <w:right w:val="none" w:sz="0" w:space="0" w:color="auto"/>
          </w:divBdr>
        </w:div>
      </w:divsChild>
    </w:div>
    <w:div w:id="1355036795">
      <w:bodyDiv w:val="1"/>
      <w:marLeft w:val="0"/>
      <w:marRight w:val="0"/>
      <w:marTop w:val="0"/>
      <w:marBottom w:val="0"/>
      <w:divBdr>
        <w:top w:val="none" w:sz="0" w:space="0" w:color="auto"/>
        <w:left w:val="none" w:sz="0" w:space="0" w:color="auto"/>
        <w:bottom w:val="none" w:sz="0" w:space="0" w:color="auto"/>
        <w:right w:val="none" w:sz="0" w:space="0" w:color="auto"/>
      </w:divBdr>
    </w:div>
    <w:div w:id="1355961016">
      <w:bodyDiv w:val="1"/>
      <w:marLeft w:val="0"/>
      <w:marRight w:val="0"/>
      <w:marTop w:val="0"/>
      <w:marBottom w:val="0"/>
      <w:divBdr>
        <w:top w:val="none" w:sz="0" w:space="0" w:color="auto"/>
        <w:left w:val="none" w:sz="0" w:space="0" w:color="auto"/>
        <w:bottom w:val="none" w:sz="0" w:space="0" w:color="auto"/>
        <w:right w:val="none" w:sz="0" w:space="0" w:color="auto"/>
      </w:divBdr>
    </w:div>
    <w:div w:id="1486168376">
      <w:bodyDiv w:val="1"/>
      <w:marLeft w:val="0"/>
      <w:marRight w:val="0"/>
      <w:marTop w:val="0"/>
      <w:marBottom w:val="0"/>
      <w:divBdr>
        <w:top w:val="none" w:sz="0" w:space="0" w:color="auto"/>
        <w:left w:val="none" w:sz="0" w:space="0" w:color="auto"/>
        <w:bottom w:val="none" w:sz="0" w:space="0" w:color="auto"/>
        <w:right w:val="none" w:sz="0" w:space="0" w:color="auto"/>
      </w:divBdr>
    </w:div>
    <w:div w:id="1582636285">
      <w:bodyDiv w:val="1"/>
      <w:marLeft w:val="0"/>
      <w:marRight w:val="0"/>
      <w:marTop w:val="0"/>
      <w:marBottom w:val="0"/>
      <w:divBdr>
        <w:top w:val="none" w:sz="0" w:space="0" w:color="auto"/>
        <w:left w:val="none" w:sz="0" w:space="0" w:color="auto"/>
        <w:bottom w:val="none" w:sz="0" w:space="0" w:color="auto"/>
        <w:right w:val="none" w:sz="0" w:space="0" w:color="auto"/>
      </w:divBdr>
    </w:div>
    <w:div w:id="1602179716">
      <w:bodyDiv w:val="1"/>
      <w:marLeft w:val="0"/>
      <w:marRight w:val="0"/>
      <w:marTop w:val="0"/>
      <w:marBottom w:val="0"/>
      <w:divBdr>
        <w:top w:val="none" w:sz="0" w:space="0" w:color="auto"/>
        <w:left w:val="none" w:sz="0" w:space="0" w:color="auto"/>
        <w:bottom w:val="none" w:sz="0" w:space="0" w:color="auto"/>
        <w:right w:val="none" w:sz="0" w:space="0" w:color="auto"/>
      </w:divBdr>
    </w:div>
    <w:div w:id="1653027223">
      <w:bodyDiv w:val="1"/>
      <w:marLeft w:val="0"/>
      <w:marRight w:val="0"/>
      <w:marTop w:val="0"/>
      <w:marBottom w:val="0"/>
      <w:divBdr>
        <w:top w:val="none" w:sz="0" w:space="0" w:color="auto"/>
        <w:left w:val="none" w:sz="0" w:space="0" w:color="auto"/>
        <w:bottom w:val="none" w:sz="0" w:space="0" w:color="auto"/>
        <w:right w:val="none" w:sz="0" w:space="0" w:color="auto"/>
      </w:divBdr>
    </w:div>
    <w:div w:id="1721323622">
      <w:bodyDiv w:val="1"/>
      <w:marLeft w:val="0"/>
      <w:marRight w:val="0"/>
      <w:marTop w:val="0"/>
      <w:marBottom w:val="0"/>
      <w:divBdr>
        <w:top w:val="none" w:sz="0" w:space="0" w:color="auto"/>
        <w:left w:val="none" w:sz="0" w:space="0" w:color="auto"/>
        <w:bottom w:val="none" w:sz="0" w:space="0" w:color="auto"/>
        <w:right w:val="none" w:sz="0" w:space="0" w:color="auto"/>
      </w:divBdr>
    </w:div>
    <w:div w:id="1968660929">
      <w:bodyDiv w:val="1"/>
      <w:marLeft w:val="0"/>
      <w:marRight w:val="0"/>
      <w:marTop w:val="0"/>
      <w:marBottom w:val="0"/>
      <w:divBdr>
        <w:top w:val="none" w:sz="0" w:space="0" w:color="auto"/>
        <w:left w:val="none" w:sz="0" w:space="0" w:color="auto"/>
        <w:bottom w:val="none" w:sz="0" w:space="0" w:color="auto"/>
        <w:right w:val="none" w:sz="0" w:space="0" w:color="auto"/>
      </w:divBdr>
    </w:div>
    <w:div w:id="2005427379">
      <w:bodyDiv w:val="1"/>
      <w:marLeft w:val="0"/>
      <w:marRight w:val="0"/>
      <w:marTop w:val="0"/>
      <w:marBottom w:val="0"/>
      <w:divBdr>
        <w:top w:val="none" w:sz="0" w:space="0" w:color="auto"/>
        <w:left w:val="none" w:sz="0" w:space="0" w:color="auto"/>
        <w:bottom w:val="none" w:sz="0" w:space="0" w:color="auto"/>
        <w:right w:val="none" w:sz="0" w:space="0" w:color="auto"/>
      </w:divBdr>
    </w:div>
    <w:div w:id="21457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bibliotecadigital.fgv.br/dspace/handle/10438/29474"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BC3A06-27C1-4AB6-8B77-471A10B372C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pt-BR"/>
        </a:p>
      </dgm:t>
    </dgm:pt>
    <dgm:pt modelId="{29495952-E449-4F34-AE6A-81031E5AE40E}">
      <dgm:prSet phldrT="[Texto]" custT="1"/>
      <dgm:spPr>
        <a:noFill/>
        <a:ln>
          <a:solidFill>
            <a:schemeClr val="tx1"/>
          </a:solidFill>
        </a:ln>
      </dgm:spPr>
      <dgm:t>
        <a:bodyPr/>
        <a:lstStyle/>
        <a:p>
          <a:pPr algn="ctr">
            <a:lnSpc>
              <a:spcPts val="1000"/>
            </a:lnSpc>
            <a:spcAft>
              <a:spcPts val="0"/>
            </a:spcAft>
          </a:pPr>
          <a:r>
            <a:rPr lang="pt-BR" sz="1000">
              <a:solidFill>
                <a:schemeClr val="tx1"/>
              </a:solidFill>
              <a:latin typeface="Arial" panose="020B0604020202020204" pitchFamily="34" charset="0"/>
              <a:cs typeface="Arial" panose="020B0604020202020204" pitchFamily="34" charset="0"/>
            </a:rPr>
            <a:t>Todas as Empresas</a:t>
          </a:r>
        </a:p>
        <a:p>
          <a:pPr algn="ctr">
            <a:lnSpc>
              <a:spcPct val="100000"/>
            </a:lnSpc>
            <a:spcAft>
              <a:spcPts val="0"/>
            </a:spcAft>
          </a:pPr>
          <a:r>
            <a:rPr lang="pt-BR" sz="1000">
              <a:solidFill>
                <a:schemeClr val="tx1"/>
              </a:solidFill>
              <a:latin typeface="Arial" panose="020B0604020202020204" pitchFamily="34" charset="0"/>
              <a:cs typeface="Arial" panose="020B0604020202020204" pitchFamily="34" charset="0"/>
            </a:rPr>
            <a:t>(49.454)</a:t>
          </a:r>
        </a:p>
      </dgm:t>
    </dgm:pt>
    <dgm:pt modelId="{E9B48DEA-FA30-4EAB-8D4B-4553CCCD08B5}" type="parTrans" cxnId="{AA89A62F-F42B-40AB-B222-A59BBB9B71AD}">
      <dgm:prSet/>
      <dgm:spPr/>
      <dgm:t>
        <a:bodyPr/>
        <a:lstStyle/>
        <a:p>
          <a:pPr algn="ctr"/>
          <a:endParaRPr lang="pt-BR">
            <a:latin typeface="Arial" panose="020B0604020202020204" pitchFamily="34" charset="0"/>
            <a:cs typeface="Arial" panose="020B0604020202020204" pitchFamily="34" charset="0"/>
          </a:endParaRPr>
        </a:p>
      </dgm:t>
    </dgm:pt>
    <dgm:pt modelId="{33BA0789-7BE6-486A-83B9-ED893F856776}" type="sibTrans" cxnId="{AA89A62F-F42B-40AB-B222-A59BBB9B71AD}">
      <dgm:prSet/>
      <dgm:spPr/>
      <dgm:t>
        <a:bodyPr/>
        <a:lstStyle/>
        <a:p>
          <a:pPr algn="ctr"/>
          <a:endParaRPr lang="pt-BR">
            <a:latin typeface="Arial" panose="020B0604020202020204" pitchFamily="34" charset="0"/>
            <a:cs typeface="Arial" panose="020B0604020202020204" pitchFamily="34" charset="0"/>
          </a:endParaRPr>
        </a:p>
      </dgm:t>
    </dgm:pt>
    <dgm:pt modelId="{02A75BC9-B37B-4ECD-8F51-D6728F462418}">
      <dgm:prSet phldrT="[Texto]" custT="1"/>
      <dgm:spPr>
        <a:noFill/>
        <a:ln>
          <a:solidFill>
            <a:schemeClr val="tx1"/>
          </a:solidFill>
        </a:ln>
      </dgm:spPr>
      <dgm:t>
        <a:bodyPr/>
        <a:lstStyle/>
        <a:p>
          <a:pPr algn="ctr">
            <a:lnSpc>
              <a:spcPts val="1000"/>
            </a:lnSpc>
            <a:spcAft>
              <a:spcPts val="0"/>
            </a:spcAft>
          </a:pPr>
          <a:r>
            <a:rPr lang="pt-BR" sz="1000">
              <a:solidFill>
                <a:schemeClr val="tx1"/>
              </a:solidFill>
              <a:latin typeface="Arial" panose="020B0604020202020204" pitchFamily="34" charset="0"/>
              <a:cs typeface="Arial" panose="020B0604020202020204" pitchFamily="34" charset="0"/>
            </a:rPr>
            <a:t>Ativas em Inovação</a:t>
          </a:r>
        </a:p>
        <a:p>
          <a:pPr algn="ctr">
            <a:lnSpc>
              <a:spcPct val="100000"/>
            </a:lnSpc>
            <a:spcAft>
              <a:spcPts val="0"/>
            </a:spcAft>
          </a:pPr>
          <a:r>
            <a:rPr lang="pt-BR" sz="1000">
              <a:solidFill>
                <a:schemeClr val="tx1"/>
              </a:solidFill>
              <a:latin typeface="Arial" panose="020B0604020202020204" pitchFamily="34" charset="0"/>
              <a:cs typeface="Arial" panose="020B0604020202020204" pitchFamily="34" charset="0"/>
            </a:rPr>
            <a:t>(26.033)</a:t>
          </a:r>
        </a:p>
      </dgm:t>
    </dgm:pt>
    <dgm:pt modelId="{6B6912C2-C1CC-4553-8D99-8B69A43BCF32}" type="parTrans" cxnId="{71D303C3-4D60-477E-A7BA-79007B62C757}">
      <dgm:prSet/>
      <dgm:spPr>
        <a:ln>
          <a:solidFill>
            <a:schemeClr val="tx1"/>
          </a:solidFill>
        </a:ln>
      </dgm:spPr>
      <dgm:t>
        <a:bodyPr/>
        <a:lstStyle/>
        <a:p>
          <a:pPr algn="ctr"/>
          <a:endParaRPr lang="pt-BR">
            <a:latin typeface="Arial" panose="020B0604020202020204" pitchFamily="34" charset="0"/>
            <a:cs typeface="Arial" panose="020B0604020202020204" pitchFamily="34" charset="0"/>
          </a:endParaRPr>
        </a:p>
      </dgm:t>
    </dgm:pt>
    <dgm:pt modelId="{4AC76FE6-E489-4399-B143-8DC786051DBA}" type="sibTrans" cxnId="{71D303C3-4D60-477E-A7BA-79007B62C757}">
      <dgm:prSet/>
      <dgm:spPr/>
      <dgm:t>
        <a:bodyPr/>
        <a:lstStyle/>
        <a:p>
          <a:pPr algn="ctr"/>
          <a:endParaRPr lang="pt-BR">
            <a:latin typeface="Arial" panose="020B0604020202020204" pitchFamily="34" charset="0"/>
            <a:cs typeface="Arial" panose="020B0604020202020204" pitchFamily="34" charset="0"/>
          </a:endParaRPr>
        </a:p>
      </dgm:t>
    </dgm:pt>
    <dgm:pt modelId="{B6D53FE5-5913-493C-8CDF-68BB55587752}">
      <dgm:prSet phldrT="[Texto]" custT="1"/>
      <dgm:spPr>
        <a:solidFill>
          <a:schemeClr val="bg1">
            <a:lumMod val="75000"/>
          </a:schemeClr>
        </a:solidFill>
        <a:ln>
          <a:solidFill>
            <a:schemeClr val="tx1"/>
          </a:solidFill>
        </a:ln>
      </dgm:spPr>
      <dgm:t>
        <a:bodyPr/>
        <a:lstStyle/>
        <a:p>
          <a:pPr algn="ctr">
            <a:lnSpc>
              <a:spcPts val="1000"/>
            </a:lnSpc>
            <a:spcAft>
              <a:spcPts val="0"/>
            </a:spcAft>
          </a:pPr>
          <a:r>
            <a:rPr lang="pt-BR" sz="1000">
              <a:solidFill>
                <a:schemeClr val="tx1"/>
              </a:solidFill>
              <a:latin typeface="Arial" panose="020B0604020202020204" pitchFamily="34" charset="0"/>
              <a:cs typeface="Arial" panose="020B0604020202020204" pitchFamily="34" charset="0"/>
            </a:rPr>
            <a:t>Inovadoras</a:t>
          </a:r>
        </a:p>
        <a:p>
          <a:pPr algn="ctr">
            <a:lnSpc>
              <a:spcPct val="100000"/>
            </a:lnSpc>
            <a:spcAft>
              <a:spcPts val="0"/>
            </a:spcAft>
          </a:pPr>
          <a:r>
            <a:rPr lang="pt-BR" sz="1000">
              <a:solidFill>
                <a:schemeClr val="tx1"/>
              </a:solidFill>
              <a:latin typeface="Arial" panose="020B0604020202020204" pitchFamily="34" charset="0"/>
              <a:cs typeface="Arial" panose="020B0604020202020204" pitchFamily="34" charset="0"/>
            </a:rPr>
            <a:t>(24.729)</a:t>
          </a:r>
          <a:endParaRPr lang="pt-BR" sz="1000">
            <a:latin typeface="Arial" panose="020B0604020202020204" pitchFamily="34" charset="0"/>
            <a:cs typeface="Arial" panose="020B0604020202020204" pitchFamily="34" charset="0"/>
          </a:endParaRPr>
        </a:p>
      </dgm:t>
    </dgm:pt>
    <dgm:pt modelId="{302DA333-9A64-4C23-9D85-632E1DDEFB46}" type="parTrans" cxnId="{56924308-80AB-4F9B-AEBB-4D3892B5E5C4}">
      <dgm:prSet/>
      <dgm:spPr>
        <a:ln>
          <a:solidFill>
            <a:schemeClr val="tx1"/>
          </a:solidFill>
        </a:ln>
      </dgm:spPr>
      <dgm:t>
        <a:bodyPr/>
        <a:lstStyle/>
        <a:p>
          <a:pPr algn="ctr"/>
          <a:endParaRPr lang="pt-BR">
            <a:latin typeface="Arial" panose="020B0604020202020204" pitchFamily="34" charset="0"/>
            <a:cs typeface="Arial" panose="020B0604020202020204" pitchFamily="34" charset="0"/>
          </a:endParaRPr>
        </a:p>
      </dgm:t>
    </dgm:pt>
    <dgm:pt modelId="{0A976441-F6AC-4A9D-994B-76B3202DF95B}" type="sibTrans" cxnId="{56924308-80AB-4F9B-AEBB-4D3892B5E5C4}">
      <dgm:prSet/>
      <dgm:spPr/>
      <dgm:t>
        <a:bodyPr/>
        <a:lstStyle/>
        <a:p>
          <a:pPr algn="ctr"/>
          <a:endParaRPr lang="pt-BR">
            <a:latin typeface="Arial" panose="020B0604020202020204" pitchFamily="34" charset="0"/>
            <a:cs typeface="Arial" panose="020B0604020202020204" pitchFamily="34" charset="0"/>
          </a:endParaRPr>
        </a:p>
      </dgm:t>
    </dgm:pt>
    <dgm:pt modelId="{69F252FE-6EB1-4E48-A3C9-918A6B5CABC9}">
      <dgm:prSet phldrT="[Texto]" custT="1"/>
      <dgm:spPr>
        <a:solidFill>
          <a:schemeClr val="bg1">
            <a:lumMod val="75000"/>
          </a:schemeClr>
        </a:solidFill>
        <a:ln>
          <a:solidFill>
            <a:schemeClr val="tx1"/>
          </a:solidFill>
        </a:ln>
      </dgm:spPr>
      <dgm:t>
        <a:bodyPr/>
        <a:lstStyle/>
        <a:p>
          <a:pPr algn="ctr">
            <a:lnSpc>
              <a:spcPts val="1000"/>
            </a:lnSpc>
            <a:spcAft>
              <a:spcPts val="0"/>
            </a:spcAft>
          </a:pPr>
          <a:r>
            <a:rPr lang="pt-BR" sz="1000">
              <a:solidFill>
                <a:schemeClr val="tx1"/>
              </a:solidFill>
              <a:latin typeface="Arial" panose="020B0604020202020204" pitchFamily="34" charset="0"/>
              <a:cs typeface="Arial" panose="020B0604020202020204" pitchFamily="34" charset="0"/>
            </a:rPr>
            <a:t>Falharam em Inovar</a:t>
          </a:r>
        </a:p>
        <a:p>
          <a:pPr algn="ctr">
            <a:lnSpc>
              <a:spcPct val="100000"/>
            </a:lnSpc>
            <a:spcAft>
              <a:spcPts val="0"/>
            </a:spcAft>
          </a:pPr>
          <a:r>
            <a:rPr lang="pt-BR" sz="1000">
              <a:solidFill>
                <a:schemeClr val="tx1"/>
              </a:solidFill>
              <a:latin typeface="Arial" panose="020B0604020202020204" pitchFamily="34" charset="0"/>
              <a:cs typeface="Arial" panose="020B0604020202020204" pitchFamily="34" charset="0"/>
            </a:rPr>
            <a:t>(1.304)</a:t>
          </a:r>
          <a:endParaRPr lang="pt-BR" sz="1000">
            <a:latin typeface="Arial" panose="020B0604020202020204" pitchFamily="34" charset="0"/>
            <a:cs typeface="Arial" panose="020B0604020202020204" pitchFamily="34" charset="0"/>
          </a:endParaRPr>
        </a:p>
      </dgm:t>
    </dgm:pt>
    <dgm:pt modelId="{63A72167-4E4B-4704-A998-444988B6E935}" type="parTrans" cxnId="{7F112FBF-EBD3-4FDE-9545-232EDA067D31}">
      <dgm:prSet/>
      <dgm:spPr>
        <a:ln>
          <a:solidFill>
            <a:schemeClr val="tx1"/>
          </a:solidFill>
        </a:ln>
      </dgm:spPr>
      <dgm:t>
        <a:bodyPr/>
        <a:lstStyle/>
        <a:p>
          <a:pPr algn="ctr"/>
          <a:endParaRPr lang="pt-BR">
            <a:latin typeface="Arial" panose="020B0604020202020204" pitchFamily="34" charset="0"/>
            <a:cs typeface="Arial" panose="020B0604020202020204" pitchFamily="34" charset="0"/>
          </a:endParaRPr>
        </a:p>
      </dgm:t>
    </dgm:pt>
    <dgm:pt modelId="{6F44DCFB-6386-4313-8424-B60FD284A7CD}" type="sibTrans" cxnId="{7F112FBF-EBD3-4FDE-9545-232EDA067D31}">
      <dgm:prSet/>
      <dgm:spPr/>
      <dgm:t>
        <a:bodyPr/>
        <a:lstStyle/>
        <a:p>
          <a:pPr algn="ctr"/>
          <a:endParaRPr lang="pt-BR">
            <a:latin typeface="Arial" panose="020B0604020202020204" pitchFamily="34" charset="0"/>
            <a:cs typeface="Arial" panose="020B0604020202020204" pitchFamily="34" charset="0"/>
          </a:endParaRPr>
        </a:p>
      </dgm:t>
    </dgm:pt>
    <dgm:pt modelId="{B657A890-E4EF-4E58-BB0A-D211645CA72A}">
      <dgm:prSet phldrT="[Texto]" custT="1"/>
      <dgm:spPr>
        <a:noFill/>
        <a:ln>
          <a:solidFill>
            <a:schemeClr val="tx1"/>
          </a:solidFill>
        </a:ln>
      </dgm:spPr>
      <dgm:t>
        <a:bodyPr/>
        <a:lstStyle/>
        <a:p>
          <a:pPr algn="ctr">
            <a:lnSpc>
              <a:spcPts val="1000"/>
            </a:lnSpc>
            <a:spcAft>
              <a:spcPts val="0"/>
            </a:spcAft>
          </a:pPr>
          <a:r>
            <a:rPr lang="pt-BR" sz="1000">
              <a:solidFill>
                <a:schemeClr val="tx1"/>
              </a:solidFill>
              <a:latin typeface="Arial" panose="020B0604020202020204" pitchFamily="34" charset="0"/>
              <a:cs typeface="Arial" panose="020B0604020202020204" pitchFamily="34" charset="0"/>
            </a:rPr>
            <a:t>Não Ativas em Inovação</a:t>
          </a:r>
        </a:p>
        <a:p>
          <a:pPr algn="ctr">
            <a:lnSpc>
              <a:spcPct val="100000"/>
            </a:lnSpc>
            <a:spcAft>
              <a:spcPts val="0"/>
            </a:spcAft>
          </a:pPr>
          <a:r>
            <a:rPr lang="pt-BR" sz="1000">
              <a:solidFill>
                <a:schemeClr val="tx1"/>
              </a:solidFill>
              <a:latin typeface="Arial" panose="020B0604020202020204" pitchFamily="34" charset="0"/>
              <a:cs typeface="Arial" panose="020B0604020202020204" pitchFamily="34" charset="0"/>
            </a:rPr>
            <a:t>(23.421)</a:t>
          </a:r>
          <a:endParaRPr lang="pt-BR" sz="1000">
            <a:latin typeface="Arial" panose="020B0604020202020204" pitchFamily="34" charset="0"/>
            <a:cs typeface="Arial" panose="020B0604020202020204" pitchFamily="34" charset="0"/>
          </a:endParaRPr>
        </a:p>
      </dgm:t>
    </dgm:pt>
    <dgm:pt modelId="{ABD85818-48CD-4CA0-894B-95048C6741B2}" type="parTrans" cxnId="{0A40377A-C663-4E41-948A-693555DF998B}">
      <dgm:prSet/>
      <dgm:spPr>
        <a:ln>
          <a:solidFill>
            <a:schemeClr val="tx1"/>
          </a:solidFill>
        </a:ln>
      </dgm:spPr>
      <dgm:t>
        <a:bodyPr/>
        <a:lstStyle/>
        <a:p>
          <a:pPr algn="ctr"/>
          <a:endParaRPr lang="pt-BR">
            <a:latin typeface="Arial" panose="020B0604020202020204" pitchFamily="34" charset="0"/>
            <a:cs typeface="Arial" panose="020B0604020202020204" pitchFamily="34" charset="0"/>
          </a:endParaRPr>
        </a:p>
      </dgm:t>
    </dgm:pt>
    <dgm:pt modelId="{2DC3BC29-A51F-4BFE-AB7E-8E01EEAE8CC9}" type="sibTrans" cxnId="{0A40377A-C663-4E41-948A-693555DF998B}">
      <dgm:prSet/>
      <dgm:spPr/>
      <dgm:t>
        <a:bodyPr/>
        <a:lstStyle/>
        <a:p>
          <a:pPr algn="ctr"/>
          <a:endParaRPr lang="pt-BR">
            <a:latin typeface="Arial" panose="020B0604020202020204" pitchFamily="34" charset="0"/>
            <a:cs typeface="Arial" panose="020B0604020202020204" pitchFamily="34" charset="0"/>
          </a:endParaRPr>
        </a:p>
      </dgm:t>
    </dgm:pt>
    <dgm:pt modelId="{1D3D9BC5-C043-4290-A5D6-55E018F3D711}">
      <dgm:prSet phldrT="[Texto]" custT="1"/>
      <dgm:spPr>
        <a:noFill/>
        <a:ln>
          <a:solidFill>
            <a:schemeClr val="tx1"/>
          </a:solidFill>
        </a:ln>
      </dgm:spPr>
      <dgm:t>
        <a:bodyPr/>
        <a:lstStyle/>
        <a:p>
          <a:pPr algn="ctr">
            <a:lnSpc>
              <a:spcPts val="1000"/>
            </a:lnSpc>
            <a:spcAft>
              <a:spcPts val="0"/>
            </a:spcAft>
          </a:pPr>
          <a:r>
            <a:rPr lang="pt-BR" sz="1000">
              <a:solidFill>
                <a:schemeClr val="tx1"/>
              </a:solidFill>
              <a:latin typeface="Arial" panose="020B0604020202020204" pitchFamily="34" charset="0"/>
              <a:cs typeface="Arial" panose="020B0604020202020204" pitchFamily="34" charset="0"/>
            </a:rPr>
            <a:t>Não Orientadas à Inovação</a:t>
          </a:r>
        </a:p>
        <a:p>
          <a:pPr algn="ctr">
            <a:lnSpc>
              <a:spcPct val="100000"/>
            </a:lnSpc>
            <a:spcAft>
              <a:spcPts val="0"/>
            </a:spcAft>
          </a:pPr>
          <a:r>
            <a:rPr lang="pt-BR" sz="1000">
              <a:solidFill>
                <a:schemeClr val="tx1"/>
              </a:solidFill>
              <a:latin typeface="Arial" panose="020B0604020202020204" pitchFamily="34" charset="0"/>
              <a:cs typeface="Arial" panose="020B0604020202020204" pitchFamily="34" charset="0"/>
            </a:rPr>
            <a:t>(18.486)</a:t>
          </a:r>
        </a:p>
      </dgm:t>
    </dgm:pt>
    <dgm:pt modelId="{3CBD8708-60A1-4BE6-AEA3-DA60F9AB0D35}" type="parTrans" cxnId="{117E4241-E3B3-4670-B46B-814352AB8166}">
      <dgm:prSet/>
      <dgm:spPr>
        <a:ln>
          <a:solidFill>
            <a:schemeClr val="tx1"/>
          </a:solidFill>
        </a:ln>
      </dgm:spPr>
      <dgm:t>
        <a:bodyPr/>
        <a:lstStyle/>
        <a:p>
          <a:pPr algn="ctr"/>
          <a:endParaRPr lang="pt-BR">
            <a:latin typeface="Arial" panose="020B0604020202020204" pitchFamily="34" charset="0"/>
            <a:cs typeface="Arial" panose="020B0604020202020204" pitchFamily="34" charset="0"/>
          </a:endParaRPr>
        </a:p>
      </dgm:t>
    </dgm:pt>
    <dgm:pt modelId="{A27D06CE-033F-49BC-9ED3-8AB528FA9271}" type="sibTrans" cxnId="{117E4241-E3B3-4670-B46B-814352AB8166}">
      <dgm:prSet/>
      <dgm:spPr/>
      <dgm:t>
        <a:bodyPr/>
        <a:lstStyle/>
        <a:p>
          <a:pPr algn="ctr"/>
          <a:endParaRPr lang="pt-BR">
            <a:latin typeface="Arial" panose="020B0604020202020204" pitchFamily="34" charset="0"/>
            <a:cs typeface="Arial" panose="020B0604020202020204" pitchFamily="34" charset="0"/>
          </a:endParaRPr>
        </a:p>
      </dgm:t>
    </dgm:pt>
    <dgm:pt modelId="{1A11E61B-ED23-4C45-AA40-F239B13B6681}">
      <dgm:prSet custT="1"/>
      <dgm:spPr>
        <a:solidFill>
          <a:schemeClr val="bg1">
            <a:lumMod val="75000"/>
          </a:schemeClr>
        </a:solidFill>
        <a:ln>
          <a:solidFill>
            <a:schemeClr val="tx1"/>
          </a:solidFill>
        </a:ln>
      </dgm:spPr>
      <dgm:t>
        <a:bodyPr/>
        <a:lstStyle/>
        <a:p>
          <a:pPr algn="ctr">
            <a:lnSpc>
              <a:spcPts val="1000"/>
            </a:lnSpc>
            <a:spcAft>
              <a:spcPts val="0"/>
            </a:spcAft>
          </a:pPr>
          <a:r>
            <a:rPr lang="pt-BR" sz="1000">
              <a:solidFill>
                <a:schemeClr val="tx1"/>
              </a:solidFill>
              <a:latin typeface="Arial" panose="020B0604020202020204" pitchFamily="34" charset="0"/>
              <a:cs typeface="Arial" panose="020B0604020202020204" pitchFamily="34" charset="0"/>
            </a:rPr>
            <a:t>Inovadoras Potenciais</a:t>
          </a:r>
        </a:p>
        <a:p>
          <a:pPr algn="ctr">
            <a:lnSpc>
              <a:spcPct val="100000"/>
            </a:lnSpc>
            <a:spcAft>
              <a:spcPts val="0"/>
            </a:spcAft>
          </a:pPr>
          <a:r>
            <a:rPr lang="pt-BR" sz="1000">
              <a:solidFill>
                <a:schemeClr val="tx1"/>
              </a:solidFill>
              <a:latin typeface="Arial" panose="020B0604020202020204" pitchFamily="34" charset="0"/>
              <a:cs typeface="Arial" panose="020B0604020202020204" pitchFamily="34" charset="0"/>
            </a:rPr>
            <a:t>(4.935)</a:t>
          </a:r>
          <a:endParaRPr lang="pt-BR" sz="1000">
            <a:latin typeface="Arial" panose="020B0604020202020204" pitchFamily="34" charset="0"/>
            <a:cs typeface="Arial" panose="020B0604020202020204" pitchFamily="34" charset="0"/>
          </a:endParaRPr>
        </a:p>
      </dgm:t>
    </dgm:pt>
    <dgm:pt modelId="{9C98D0D0-05B6-42AB-A95E-20561BD20266}" type="parTrans" cxnId="{A4CA800A-9A99-4ECF-B050-1821DD3A9672}">
      <dgm:prSet/>
      <dgm:spPr>
        <a:ln>
          <a:solidFill>
            <a:schemeClr val="tx1"/>
          </a:solidFill>
        </a:ln>
      </dgm:spPr>
      <dgm:t>
        <a:bodyPr/>
        <a:lstStyle/>
        <a:p>
          <a:pPr algn="ctr"/>
          <a:endParaRPr lang="pt-BR">
            <a:latin typeface="Arial" panose="020B0604020202020204" pitchFamily="34" charset="0"/>
            <a:cs typeface="Arial" panose="020B0604020202020204" pitchFamily="34" charset="0"/>
          </a:endParaRPr>
        </a:p>
      </dgm:t>
    </dgm:pt>
    <dgm:pt modelId="{9E6635D8-238D-49E0-8078-9760BB2D7650}" type="sibTrans" cxnId="{A4CA800A-9A99-4ECF-B050-1821DD3A9672}">
      <dgm:prSet/>
      <dgm:spPr/>
      <dgm:t>
        <a:bodyPr/>
        <a:lstStyle/>
        <a:p>
          <a:pPr algn="ctr"/>
          <a:endParaRPr lang="pt-BR">
            <a:latin typeface="Arial" panose="020B0604020202020204" pitchFamily="34" charset="0"/>
            <a:cs typeface="Arial" panose="020B0604020202020204" pitchFamily="34" charset="0"/>
          </a:endParaRPr>
        </a:p>
      </dgm:t>
    </dgm:pt>
    <dgm:pt modelId="{1F62BE68-7C21-4D8E-BFDB-07C4C3EBC70A}" type="pres">
      <dgm:prSet presAssocID="{17BC3A06-27C1-4AB6-8B77-471A10B372CD}" presName="diagram" presStyleCnt="0">
        <dgm:presLayoutVars>
          <dgm:chPref val="1"/>
          <dgm:dir/>
          <dgm:animOne val="branch"/>
          <dgm:animLvl val="lvl"/>
          <dgm:resizeHandles val="exact"/>
        </dgm:presLayoutVars>
      </dgm:prSet>
      <dgm:spPr/>
      <dgm:t>
        <a:bodyPr/>
        <a:lstStyle/>
        <a:p>
          <a:endParaRPr lang="pt-BR"/>
        </a:p>
      </dgm:t>
    </dgm:pt>
    <dgm:pt modelId="{354BDC32-2ADE-4383-A6AC-C78FD17C8B4B}" type="pres">
      <dgm:prSet presAssocID="{29495952-E449-4F34-AE6A-81031E5AE40E}" presName="root1" presStyleCnt="0"/>
      <dgm:spPr/>
    </dgm:pt>
    <dgm:pt modelId="{EFA1927A-4D5C-482E-AA4F-4B349BC0FF80}" type="pres">
      <dgm:prSet presAssocID="{29495952-E449-4F34-AE6A-81031E5AE40E}" presName="LevelOneTextNode" presStyleLbl="node0" presStyleIdx="0" presStyleCnt="1">
        <dgm:presLayoutVars>
          <dgm:chPref val="3"/>
        </dgm:presLayoutVars>
      </dgm:prSet>
      <dgm:spPr/>
      <dgm:t>
        <a:bodyPr/>
        <a:lstStyle/>
        <a:p>
          <a:endParaRPr lang="pt-BR"/>
        </a:p>
      </dgm:t>
    </dgm:pt>
    <dgm:pt modelId="{D8D131C0-BC97-4A66-9253-E8C022852AA3}" type="pres">
      <dgm:prSet presAssocID="{29495952-E449-4F34-AE6A-81031E5AE40E}" presName="level2hierChild" presStyleCnt="0"/>
      <dgm:spPr/>
    </dgm:pt>
    <dgm:pt modelId="{FF3BC3BC-ABDB-4ED8-855B-F3EAFA0E7661}" type="pres">
      <dgm:prSet presAssocID="{6B6912C2-C1CC-4553-8D99-8B69A43BCF32}" presName="conn2-1" presStyleLbl="parChTrans1D2" presStyleIdx="0" presStyleCnt="2"/>
      <dgm:spPr/>
      <dgm:t>
        <a:bodyPr/>
        <a:lstStyle/>
        <a:p>
          <a:endParaRPr lang="pt-BR"/>
        </a:p>
      </dgm:t>
    </dgm:pt>
    <dgm:pt modelId="{DC3E728F-62DD-45A2-B2C1-8BC0F2970599}" type="pres">
      <dgm:prSet presAssocID="{6B6912C2-C1CC-4553-8D99-8B69A43BCF32}" presName="connTx" presStyleLbl="parChTrans1D2" presStyleIdx="0" presStyleCnt="2"/>
      <dgm:spPr/>
      <dgm:t>
        <a:bodyPr/>
        <a:lstStyle/>
        <a:p>
          <a:endParaRPr lang="pt-BR"/>
        </a:p>
      </dgm:t>
    </dgm:pt>
    <dgm:pt modelId="{8562FFE8-F78D-4749-AA9D-6DE41FC72777}" type="pres">
      <dgm:prSet presAssocID="{02A75BC9-B37B-4ECD-8F51-D6728F462418}" presName="root2" presStyleCnt="0"/>
      <dgm:spPr/>
    </dgm:pt>
    <dgm:pt modelId="{F505F618-7A8D-4887-A154-D3AB5D1B1106}" type="pres">
      <dgm:prSet presAssocID="{02A75BC9-B37B-4ECD-8F51-D6728F462418}" presName="LevelTwoTextNode" presStyleLbl="node2" presStyleIdx="0" presStyleCnt="2">
        <dgm:presLayoutVars>
          <dgm:chPref val="3"/>
        </dgm:presLayoutVars>
      </dgm:prSet>
      <dgm:spPr/>
      <dgm:t>
        <a:bodyPr/>
        <a:lstStyle/>
        <a:p>
          <a:endParaRPr lang="pt-BR"/>
        </a:p>
      </dgm:t>
    </dgm:pt>
    <dgm:pt modelId="{6A9A0C1C-07A0-4CD4-83CD-83B697A5B6A5}" type="pres">
      <dgm:prSet presAssocID="{02A75BC9-B37B-4ECD-8F51-D6728F462418}" presName="level3hierChild" presStyleCnt="0"/>
      <dgm:spPr/>
    </dgm:pt>
    <dgm:pt modelId="{B0B16D09-6C30-44C4-9E73-C15F4EC2889A}" type="pres">
      <dgm:prSet presAssocID="{302DA333-9A64-4C23-9D85-632E1DDEFB46}" presName="conn2-1" presStyleLbl="parChTrans1D3" presStyleIdx="0" presStyleCnt="4"/>
      <dgm:spPr/>
      <dgm:t>
        <a:bodyPr/>
        <a:lstStyle/>
        <a:p>
          <a:endParaRPr lang="pt-BR"/>
        </a:p>
      </dgm:t>
    </dgm:pt>
    <dgm:pt modelId="{E3FB07AD-664C-4545-974E-8A1F85127D93}" type="pres">
      <dgm:prSet presAssocID="{302DA333-9A64-4C23-9D85-632E1DDEFB46}" presName="connTx" presStyleLbl="parChTrans1D3" presStyleIdx="0" presStyleCnt="4"/>
      <dgm:spPr/>
      <dgm:t>
        <a:bodyPr/>
        <a:lstStyle/>
        <a:p>
          <a:endParaRPr lang="pt-BR"/>
        </a:p>
      </dgm:t>
    </dgm:pt>
    <dgm:pt modelId="{70DDDE24-FEF5-4261-A17A-9726054DF141}" type="pres">
      <dgm:prSet presAssocID="{B6D53FE5-5913-493C-8CDF-68BB55587752}" presName="root2" presStyleCnt="0"/>
      <dgm:spPr/>
    </dgm:pt>
    <dgm:pt modelId="{A8F95C79-862D-48A1-9D20-22A999C6CCFF}" type="pres">
      <dgm:prSet presAssocID="{B6D53FE5-5913-493C-8CDF-68BB55587752}" presName="LevelTwoTextNode" presStyleLbl="node3" presStyleIdx="0" presStyleCnt="4" custScaleX="100151" custScaleY="99770">
        <dgm:presLayoutVars>
          <dgm:chPref val="3"/>
        </dgm:presLayoutVars>
      </dgm:prSet>
      <dgm:spPr/>
      <dgm:t>
        <a:bodyPr/>
        <a:lstStyle/>
        <a:p>
          <a:endParaRPr lang="pt-BR"/>
        </a:p>
      </dgm:t>
    </dgm:pt>
    <dgm:pt modelId="{8A6E44E4-CA63-4964-87C4-F5B029F76AD7}" type="pres">
      <dgm:prSet presAssocID="{B6D53FE5-5913-493C-8CDF-68BB55587752}" presName="level3hierChild" presStyleCnt="0"/>
      <dgm:spPr/>
    </dgm:pt>
    <dgm:pt modelId="{3F8A7105-9DD4-4103-997F-B61CF1BEF625}" type="pres">
      <dgm:prSet presAssocID="{63A72167-4E4B-4704-A998-444988B6E935}" presName="conn2-1" presStyleLbl="parChTrans1D3" presStyleIdx="1" presStyleCnt="4"/>
      <dgm:spPr/>
      <dgm:t>
        <a:bodyPr/>
        <a:lstStyle/>
        <a:p>
          <a:endParaRPr lang="pt-BR"/>
        </a:p>
      </dgm:t>
    </dgm:pt>
    <dgm:pt modelId="{53742A57-786D-4F0A-8036-641EE3F28F50}" type="pres">
      <dgm:prSet presAssocID="{63A72167-4E4B-4704-A998-444988B6E935}" presName="connTx" presStyleLbl="parChTrans1D3" presStyleIdx="1" presStyleCnt="4"/>
      <dgm:spPr/>
      <dgm:t>
        <a:bodyPr/>
        <a:lstStyle/>
        <a:p>
          <a:endParaRPr lang="pt-BR"/>
        </a:p>
      </dgm:t>
    </dgm:pt>
    <dgm:pt modelId="{47C812CA-EF74-45C2-93D3-24070F139ADD}" type="pres">
      <dgm:prSet presAssocID="{69F252FE-6EB1-4E48-A3C9-918A6B5CABC9}" presName="root2" presStyleCnt="0"/>
      <dgm:spPr/>
    </dgm:pt>
    <dgm:pt modelId="{A3D011C6-F313-4CCB-AF53-0901A5D422D4}" type="pres">
      <dgm:prSet presAssocID="{69F252FE-6EB1-4E48-A3C9-918A6B5CABC9}" presName="LevelTwoTextNode" presStyleLbl="node3" presStyleIdx="1" presStyleCnt="4">
        <dgm:presLayoutVars>
          <dgm:chPref val="3"/>
        </dgm:presLayoutVars>
      </dgm:prSet>
      <dgm:spPr/>
      <dgm:t>
        <a:bodyPr/>
        <a:lstStyle/>
        <a:p>
          <a:endParaRPr lang="pt-BR"/>
        </a:p>
      </dgm:t>
    </dgm:pt>
    <dgm:pt modelId="{CD1C7402-70A2-4B8F-B3F7-349C892ADE92}" type="pres">
      <dgm:prSet presAssocID="{69F252FE-6EB1-4E48-A3C9-918A6B5CABC9}" presName="level3hierChild" presStyleCnt="0"/>
      <dgm:spPr/>
    </dgm:pt>
    <dgm:pt modelId="{F79DE673-7AB1-434F-808C-0CD2CE96822C}" type="pres">
      <dgm:prSet presAssocID="{ABD85818-48CD-4CA0-894B-95048C6741B2}" presName="conn2-1" presStyleLbl="parChTrans1D2" presStyleIdx="1" presStyleCnt="2"/>
      <dgm:spPr/>
      <dgm:t>
        <a:bodyPr/>
        <a:lstStyle/>
        <a:p>
          <a:endParaRPr lang="pt-BR"/>
        </a:p>
      </dgm:t>
    </dgm:pt>
    <dgm:pt modelId="{9C7A2F80-F40E-4B9D-89EF-A145610A3D6D}" type="pres">
      <dgm:prSet presAssocID="{ABD85818-48CD-4CA0-894B-95048C6741B2}" presName="connTx" presStyleLbl="parChTrans1D2" presStyleIdx="1" presStyleCnt="2"/>
      <dgm:spPr/>
      <dgm:t>
        <a:bodyPr/>
        <a:lstStyle/>
        <a:p>
          <a:endParaRPr lang="pt-BR"/>
        </a:p>
      </dgm:t>
    </dgm:pt>
    <dgm:pt modelId="{41CF85EA-3CF2-4E54-9B21-6FB743FFEB31}" type="pres">
      <dgm:prSet presAssocID="{B657A890-E4EF-4E58-BB0A-D211645CA72A}" presName="root2" presStyleCnt="0"/>
      <dgm:spPr/>
    </dgm:pt>
    <dgm:pt modelId="{0F9CA300-0D6F-4762-B095-2933B6C45DE7}" type="pres">
      <dgm:prSet presAssocID="{B657A890-E4EF-4E58-BB0A-D211645CA72A}" presName="LevelTwoTextNode" presStyleLbl="node2" presStyleIdx="1" presStyleCnt="2">
        <dgm:presLayoutVars>
          <dgm:chPref val="3"/>
        </dgm:presLayoutVars>
      </dgm:prSet>
      <dgm:spPr/>
      <dgm:t>
        <a:bodyPr/>
        <a:lstStyle/>
        <a:p>
          <a:endParaRPr lang="pt-BR"/>
        </a:p>
      </dgm:t>
    </dgm:pt>
    <dgm:pt modelId="{A2A56BC6-716C-4C50-A141-F91AE3D0329B}" type="pres">
      <dgm:prSet presAssocID="{B657A890-E4EF-4E58-BB0A-D211645CA72A}" presName="level3hierChild" presStyleCnt="0"/>
      <dgm:spPr/>
    </dgm:pt>
    <dgm:pt modelId="{B8C7E20C-3BEC-4586-AA40-13E95B84E618}" type="pres">
      <dgm:prSet presAssocID="{9C98D0D0-05B6-42AB-A95E-20561BD20266}" presName="conn2-1" presStyleLbl="parChTrans1D3" presStyleIdx="2" presStyleCnt="4"/>
      <dgm:spPr/>
      <dgm:t>
        <a:bodyPr/>
        <a:lstStyle/>
        <a:p>
          <a:endParaRPr lang="pt-BR"/>
        </a:p>
      </dgm:t>
    </dgm:pt>
    <dgm:pt modelId="{C0FBFA93-04EA-426E-9287-A6A51D73F84B}" type="pres">
      <dgm:prSet presAssocID="{9C98D0D0-05B6-42AB-A95E-20561BD20266}" presName="connTx" presStyleLbl="parChTrans1D3" presStyleIdx="2" presStyleCnt="4"/>
      <dgm:spPr/>
      <dgm:t>
        <a:bodyPr/>
        <a:lstStyle/>
        <a:p>
          <a:endParaRPr lang="pt-BR"/>
        </a:p>
      </dgm:t>
    </dgm:pt>
    <dgm:pt modelId="{64211248-6784-4E25-930A-20754C3CEFBA}" type="pres">
      <dgm:prSet presAssocID="{1A11E61B-ED23-4C45-AA40-F239B13B6681}" presName="root2" presStyleCnt="0"/>
      <dgm:spPr/>
    </dgm:pt>
    <dgm:pt modelId="{FEBA2126-D778-4972-A049-942F2F36FDAD}" type="pres">
      <dgm:prSet presAssocID="{1A11E61B-ED23-4C45-AA40-F239B13B6681}" presName="LevelTwoTextNode" presStyleLbl="node3" presStyleIdx="2" presStyleCnt="4">
        <dgm:presLayoutVars>
          <dgm:chPref val="3"/>
        </dgm:presLayoutVars>
      </dgm:prSet>
      <dgm:spPr/>
      <dgm:t>
        <a:bodyPr/>
        <a:lstStyle/>
        <a:p>
          <a:endParaRPr lang="pt-BR"/>
        </a:p>
      </dgm:t>
    </dgm:pt>
    <dgm:pt modelId="{655C98E0-3994-498B-8830-CB39782C0372}" type="pres">
      <dgm:prSet presAssocID="{1A11E61B-ED23-4C45-AA40-F239B13B6681}" presName="level3hierChild" presStyleCnt="0"/>
      <dgm:spPr/>
    </dgm:pt>
    <dgm:pt modelId="{4642B667-4B9E-4D1A-9888-BBED30527F14}" type="pres">
      <dgm:prSet presAssocID="{3CBD8708-60A1-4BE6-AEA3-DA60F9AB0D35}" presName="conn2-1" presStyleLbl="parChTrans1D3" presStyleIdx="3" presStyleCnt="4"/>
      <dgm:spPr/>
      <dgm:t>
        <a:bodyPr/>
        <a:lstStyle/>
        <a:p>
          <a:endParaRPr lang="pt-BR"/>
        </a:p>
      </dgm:t>
    </dgm:pt>
    <dgm:pt modelId="{CEA63DA7-C49E-4283-9F4F-9BEB3282921F}" type="pres">
      <dgm:prSet presAssocID="{3CBD8708-60A1-4BE6-AEA3-DA60F9AB0D35}" presName="connTx" presStyleLbl="parChTrans1D3" presStyleIdx="3" presStyleCnt="4"/>
      <dgm:spPr/>
      <dgm:t>
        <a:bodyPr/>
        <a:lstStyle/>
        <a:p>
          <a:endParaRPr lang="pt-BR"/>
        </a:p>
      </dgm:t>
    </dgm:pt>
    <dgm:pt modelId="{BF4C40E8-461F-4BA8-B7D6-C4565D0E9262}" type="pres">
      <dgm:prSet presAssocID="{1D3D9BC5-C043-4290-A5D6-55E018F3D711}" presName="root2" presStyleCnt="0"/>
      <dgm:spPr/>
    </dgm:pt>
    <dgm:pt modelId="{1CB2D548-CD7D-454D-BDF1-A5377614846C}" type="pres">
      <dgm:prSet presAssocID="{1D3D9BC5-C043-4290-A5D6-55E018F3D711}" presName="LevelTwoTextNode" presStyleLbl="node3" presStyleIdx="3" presStyleCnt="4">
        <dgm:presLayoutVars>
          <dgm:chPref val="3"/>
        </dgm:presLayoutVars>
      </dgm:prSet>
      <dgm:spPr/>
      <dgm:t>
        <a:bodyPr/>
        <a:lstStyle/>
        <a:p>
          <a:endParaRPr lang="pt-BR"/>
        </a:p>
      </dgm:t>
    </dgm:pt>
    <dgm:pt modelId="{D678AEE6-F5E8-4E94-A50D-2588FF503E20}" type="pres">
      <dgm:prSet presAssocID="{1D3D9BC5-C043-4290-A5D6-55E018F3D711}" presName="level3hierChild" presStyleCnt="0"/>
      <dgm:spPr/>
    </dgm:pt>
  </dgm:ptLst>
  <dgm:cxnLst>
    <dgm:cxn modelId="{D3076B6F-3E5C-4884-9D68-5804CFDA1C8D}" type="presOf" srcId="{9C98D0D0-05B6-42AB-A95E-20561BD20266}" destId="{B8C7E20C-3BEC-4586-AA40-13E95B84E618}" srcOrd="0" destOrd="0" presId="urn:microsoft.com/office/officeart/2005/8/layout/hierarchy2"/>
    <dgm:cxn modelId="{117E4241-E3B3-4670-B46B-814352AB8166}" srcId="{B657A890-E4EF-4E58-BB0A-D211645CA72A}" destId="{1D3D9BC5-C043-4290-A5D6-55E018F3D711}" srcOrd="1" destOrd="0" parTransId="{3CBD8708-60A1-4BE6-AEA3-DA60F9AB0D35}" sibTransId="{A27D06CE-033F-49BC-9ED3-8AB528FA9271}"/>
    <dgm:cxn modelId="{BF0F5EFA-E4F7-453A-A871-053B9321F38C}" type="presOf" srcId="{3CBD8708-60A1-4BE6-AEA3-DA60F9AB0D35}" destId="{CEA63DA7-C49E-4283-9F4F-9BEB3282921F}" srcOrd="1" destOrd="0" presId="urn:microsoft.com/office/officeart/2005/8/layout/hierarchy2"/>
    <dgm:cxn modelId="{56924308-80AB-4F9B-AEBB-4D3892B5E5C4}" srcId="{02A75BC9-B37B-4ECD-8F51-D6728F462418}" destId="{B6D53FE5-5913-493C-8CDF-68BB55587752}" srcOrd="0" destOrd="0" parTransId="{302DA333-9A64-4C23-9D85-632E1DDEFB46}" sibTransId="{0A976441-F6AC-4A9D-994B-76B3202DF95B}"/>
    <dgm:cxn modelId="{BC64904F-F95C-4E89-B90D-600490BCD786}" type="presOf" srcId="{3CBD8708-60A1-4BE6-AEA3-DA60F9AB0D35}" destId="{4642B667-4B9E-4D1A-9888-BBED30527F14}" srcOrd="0" destOrd="0" presId="urn:microsoft.com/office/officeart/2005/8/layout/hierarchy2"/>
    <dgm:cxn modelId="{A4CA800A-9A99-4ECF-B050-1821DD3A9672}" srcId="{B657A890-E4EF-4E58-BB0A-D211645CA72A}" destId="{1A11E61B-ED23-4C45-AA40-F239B13B6681}" srcOrd="0" destOrd="0" parTransId="{9C98D0D0-05B6-42AB-A95E-20561BD20266}" sibTransId="{9E6635D8-238D-49E0-8078-9760BB2D7650}"/>
    <dgm:cxn modelId="{4F732C0E-AFD2-4E1E-9CED-2566AE1AE368}" type="presOf" srcId="{63A72167-4E4B-4704-A998-444988B6E935}" destId="{53742A57-786D-4F0A-8036-641EE3F28F50}" srcOrd="1" destOrd="0" presId="urn:microsoft.com/office/officeart/2005/8/layout/hierarchy2"/>
    <dgm:cxn modelId="{1F22F8A2-338A-4A64-8C48-C0AE0B40801F}" type="presOf" srcId="{6B6912C2-C1CC-4553-8D99-8B69A43BCF32}" destId="{FF3BC3BC-ABDB-4ED8-855B-F3EAFA0E7661}" srcOrd="0" destOrd="0" presId="urn:microsoft.com/office/officeart/2005/8/layout/hierarchy2"/>
    <dgm:cxn modelId="{68EA77A6-8865-4A05-A5D5-D50EE17A3EB0}" type="presOf" srcId="{63A72167-4E4B-4704-A998-444988B6E935}" destId="{3F8A7105-9DD4-4103-997F-B61CF1BEF625}" srcOrd="0" destOrd="0" presId="urn:microsoft.com/office/officeart/2005/8/layout/hierarchy2"/>
    <dgm:cxn modelId="{A0C403B0-BD0B-4CD8-BE8D-C8691E1D9B01}" type="presOf" srcId="{69F252FE-6EB1-4E48-A3C9-918A6B5CABC9}" destId="{A3D011C6-F313-4CCB-AF53-0901A5D422D4}" srcOrd="0" destOrd="0" presId="urn:microsoft.com/office/officeart/2005/8/layout/hierarchy2"/>
    <dgm:cxn modelId="{4DD56174-BD99-415E-B922-9FA41204F8BA}" type="presOf" srcId="{B6D53FE5-5913-493C-8CDF-68BB55587752}" destId="{A8F95C79-862D-48A1-9D20-22A999C6CCFF}" srcOrd="0" destOrd="0" presId="urn:microsoft.com/office/officeart/2005/8/layout/hierarchy2"/>
    <dgm:cxn modelId="{AECF58E6-BC46-4B3E-AB3B-AA42477A60D6}" type="presOf" srcId="{29495952-E449-4F34-AE6A-81031E5AE40E}" destId="{EFA1927A-4D5C-482E-AA4F-4B349BC0FF80}" srcOrd="0" destOrd="0" presId="urn:microsoft.com/office/officeart/2005/8/layout/hierarchy2"/>
    <dgm:cxn modelId="{FEA824D8-C557-41BB-A939-AA8A5DDD13BD}" type="presOf" srcId="{302DA333-9A64-4C23-9D85-632E1DDEFB46}" destId="{E3FB07AD-664C-4545-974E-8A1F85127D93}" srcOrd="1" destOrd="0" presId="urn:microsoft.com/office/officeart/2005/8/layout/hierarchy2"/>
    <dgm:cxn modelId="{2506E1C0-F3C3-49D2-8504-EA435FDB25F8}" type="presOf" srcId="{B657A890-E4EF-4E58-BB0A-D211645CA72A}" destId="{0F9CA300-0D6F-4762-B095-2933B6C45DE7}" srcOrd="0" destOrd="0" presId="urn:microsoft.com/office/officeart/2005/8/layout/hierarchy2"/>
    <dgm:cxn modelId="{A6EE708C-8089-4CB1-9C6C-0E8520FBDB6B}" type="presOf" srcId="{9C98D0D0-05B6-42AB-A95E-20561BD20266}" destId="{C0FBFA93-04EA-426E-9287-A6A51D73F84B}" srcOrd="1" destOrd="0" presId="urn:microsoft.com/office/officeart/2005/8/layout/hierarchy2"/>
    <dgm:cxn modelId="{B2C11AE3-B808-4BDA-9955-54DE84C0B318}" type="presOf" srcId="{1D3D9BC5-C043-4290-A5D6-55E018F3D711}" destId="{1CB2D548-CD7D-454D-BDF1-A5377614846C}" srcOrd="0" destOrd="0" presId="urn:microsoft.com/office/officeart/2005/8/layout/hierarchy2"/>
    <dgm:cxn modelId="{F02344C8-E6FA-4F1D-B818-A8A7469C9804}" type="presOf" srcId="{6B6912C2-C1CC-4553-8D99-8B69A43BCF32}" destId="{DC3E728F-62DD-45A2-B2C1-8BC0F2970599}" srcOrd="1" destOrd="0" presId="urn:microsoft.com/office/officeart/2005/8/layout/hierarchy2"/>
    <dgm:cxn modelId="{AB3FCE20-7FB6-4186-A6FD-77318E1BB05D}" type="presOf" srcId="{17BC3A06-27C1-4AB6-8B77-471A10B372CD}" destId="{1F62BE68-7C21-4D8E-BFDB-07C4C3EBC70A}" srcOrd="0" destOrd="0" presId="urn:microsoft.com/office/officeart/2005/8/layout/hierarchy2"/>
    <dgm:cxn modelId="{7F112FBF-EBD3-4FDE-9545-232EDA067D31}" srcId="{02A75BC9-B37B-4ECD-8F51-D6728F462418}" destId="{69F252FE-6EB1-4E48-A3C9-918A6B5CABC9}" srcOrd="1" destOrd="0" parTransId="{63A72167-4E4B-4704-A998-444988B6E935}" sibTransId="{6F44DCFB-6386-4313-8424-B60FD284A7CD}"/>
    <dgm:cxn modelId="{53C83B76-2712-4677-942E-6A9C7052D25B}" type="presOf" srcId="{1A11E61B-ED23-4C45-AA40-F239B13B6681}" destId="{FEBA2126-D778-4972-A049-942F2F36FDAD}" srcOrd="0" destOrd="0" presId="urn:microsoft.com/office/officeart/2005/8/layout/hierarchy2"/>
    <dgm:cxn modelId="{5D23425A-2BE4-4436-877B-AA8C67811657}" type="presOf" srcId="{ABD85818-48CD-4CA0-894B-95048C6741B2}" destId="{9C7A2F80-F40E-4B9D-89EF-A145610A3D6D}" srcOrd="1" destOrd="0" presId="urn:microsoft.com/office/officeart/2005/8/layout/hierarchy2"/>
    <dgm:cxn modelId="{71D303C3-4D60-477E-A7BA-79007B62C757}" srcId="{29495952-E449-4F34-AE6A-81031E5AE40E}" destId="{02A75BC9-B37B-4ECD-8F51-D6728F462418}" srcOrd="0" destOrd="0" parTransId="{6B6912C2-C1CC-4553-8D99-8B69A43BCF32}" sibTransId="{4AC76FE6-E489-4399-B143-8DC786051DBA}"/>
    <dgm:cxn modelId="{44B702A8-7739-49E4-9A88-F9513790C1ED}" type="presOf" srcId="{ABD85818-48CD-4CA0-894B-95048C6741B2}" destId="{F79DE673-7AB1-434F-808C-0CD2CE96822C}" srcOrd="0" destOrd="0" presId="urn:microsoft.com/office/officeart/2005/8/layout/hierarchy2"/>
    <dgm:cxn modelId="{AA89A62F-F42B-40AB-B222-A59BBB9B71AD}" srcId="{17BC3A06-27C1-4AB6-8B77-471A10B372CD}" destId="{29495952-E449-4F34-AE6A-81031E5AE40E}" srcOrd="0" destOrd="0" parTransId="{E9B48DEA-FA30-4EAB-8D4B-4553CCCD08B5}" sibTransId="{33BA0789-7BE6-486A-83B9-ED893F856776}"/>
    <dgm:cxn modelId="{0A40377A-C663-4E41-948A-693555DF998B}" srcId="{29495952-E449-4F34-AE6A-81031E5AE40E}" destId="{B657A890-E4EF-4E58-BB0A-D211645CA72A}" srcOrd="1" destOrd="0" parTransId="{ABD85818-48CD-4CA0-894B-95048C6741B2}" sibTransId="{2DC3BC29-A51F-4BFE-AB7E-8E01EEAE8CC9}"/>
    <dgm:cxn modelId="{A2D942F3-CA14-4396-AFB2-3CBAB0ACD12F}" type="presOf" srcId="{302DA333-9A64-4C23-9D85-632E1DDEFB46}" destId="{B0B16D09-6C30-44C4-9E73-C15F4EC2889A}" srcOrd="0" destOrd="0" presId="urn:microsoft.com/office/officeart/2005/8/layout/hierarchy2"/>
    <dgm:cxn modelId="{4D192F24-FAC2-4E8A-A95C-25D30FD6874C}" type="presOf" srcId="{02A75BC9-B37B-4ECD-8F51-D6728F462418}" destId="{F505F618-7A8D-4887-A154-D3AB5D1B1106}" srcOrd="0" destOrd="0" presId="urn:microsoft.com/office/officeart/2005/8/layout/hierarchy2"/>
    <dgm:cxn modelId="{48740EFE-313F-4067-A22F-0591AF4217A7}" type="presParOf" srcId="{1F62BE68-7C21-4D8E-BFDB-07C4C3EBC70A}" destId="{354BDC32-2ADE-4383-A6AC-C78FD17C8B4B}" srcOrd="0" destOrd="0" presId="urn:microsoft.com/office/officeart/2005/8/layout/hierarchy2"/>
    <dgm:cxn modelId="{7E6A3062-1DDF-4D39-885E-4BCD38DAF7A3}" type="presParOf" srcId="{354BDC32-2ADE-4383-A6AC-C78FD17C8B4B}" destId="{EFA1927A-4D5C-482E-AA4F-4B349BC0FF80}" srcOrd="0" destOrd="0" presId="urn:microsoft.com/office/officeart/2005/8/layout/hierarchy2"/>
    <dgm:cxn modelId="{A2213C90-25DE-45B1-AF63-252161C36AE3}" type="presParOf" srcId="{354BDC32-2ADE-4383-A6AC-C78FD17C8B4B}" destId="{D8D131C0-BC97-4A66-9253-E8C022852AA3}" srcOrd="1" destOrd="0" presId="urn:microsoft.com/office/officeart/2005/8/layout/hierarchy2"/>
    <dgm:cxn modelId="{A5CCE960-B0F0-48C2-B830-35D75898F85C}" type="presParOf" srcId="{D8D131C0-BC97-4A66-9253-E8C022852AA3}" destId="{FF3BC3BC-ABDB-4ED8-855B-F3EAFA0E7661}" srcOrd="0" destOrd="0" presId="urn:microsoft.com/office/officeart/2005/8/layout/hierarchy2"/>
    <dgm:cxn modelId="{7DEF3BFF-4502-41E0-9D5D-9FFD01B6280E}" type="presParOf" srcId="{FF3BC3BC-ABDB-4ED8-855B-F3EAFA0E7661}" destId="{DC3E728F-62DD-45A2-B2C1-8BC0F2970599}" srcOrd="0" destOrd="0" presId="urn:microsoft.com/office/officeart/2005/8/layout/hierarchy2"/>
    <dgm:cxn modelId="{3C880976-C8AE-4219-8E36-1801E9AD7B5A}" type="presParOf" srcId="{D8D131C0-BC97-4A66-9253-E8C022852AA3}" destId="{8562FFE8-F78D-4749-AA9D-6DE41FC72777}" srcOrd="1" destOrd="0" presId="urn:microsoft.com/office/officeart/2005/8/layout/hierarchy2"/>
    <dgm:cxn modelId="{53ED0AF8-0389-4970-B09D-DDA230D01423}" type="presParOf" srcId="{8562FFE8-F78D-4749-AA9D-6DE41FC72777}" destId="{F505F618-7A8D-4887-A154-D3AB5D1B1106}" srcOrd="0" destOrd="0" presId="urn:microsoft.com/office/officeart/2005/8/layout/hierarchy2"/>
    <dgm:cxn modelId="{7203F492-2FA6-45CC-9B22-BD2B7A4C8F86}" type="presParOf" srcId="{8562FFE8-F78D-4749-AA9D-6DE41FC72777}" destId="{6A9A0C1C-07A0-4CD4-83CD-83B697A5B6A5}" srcOrd="1" destOrd="0" presId="urn:microsoft.com/office/officeart/2005/8/layout/hierarchy2"/>
    <dgm:cxn modelId="{A731B61E-B172-424F-99DC-9DB806DBA5E0}" type="presParOf" srcId="{6A9A0C1C-07A0-4CD4-83CD-83B697A5B6A5}" destId="{B0B16D09-6C30-44C4-9E73-C15F4EC2889A}" srcOrd="0" destOrd="0" presId="urn:microsoft.com/office/officeart/2005/8/layout/hierarchy2"/>
    <dgm:cxn modelId="{B332E763-FBA9-4B6E-BC07-6BB1874B2E50}" type="presParOf" srcId="{B0B16D09-6C30-44C4-9E73-C15F4EC2889A}" destId="{E3FB07AD-664C-4545-974E-8A1F85127D93}" srcOrd="0" destOrd="0" presId="urn:microsoft.com/office/officeart/2005/8/layout/hierarchy2"/>
    <dgm:cxn modelId="{9C359EE5-C902-4C6D-B79A-72DAB7B54376}" type="presParOf" srcId="{6A9A0C1C-07A0-4CD4-83CD-83B697A5B6A5}" destId="{70DDDE24-FEF5-4261-A17A-9726054DF141}" srcOrd="1" destOrd="0" presId="urn:microsoft.com/office/officeart/2005/8/layout/hierarchy2"/>
    <dgm:cxn modelId="{D8B7CFA7-A71F-4FE9-A812-54AF42ED4D25}" type="presParOf" srcId="{70DDDE24-FEF5-4261-A17A-9726054DF141}" destId="{A8F95C79-862D-48A1-9D20-22A999C6CCFF}" srcOrd="0" destOrd="0" presId="urn:microsoft.com/office/officeart/2005/8/layout/hierarchy2"/>
    <dgm:cxn modelId="{000BFEED-588E-42A9-B219-D63431064F6B}" type="presParOf" srcId="{70DDDE24-FEF5-4261-A17A-9726054DF141}" destId="{8A6E44E4-CA63-4964-87C4-F5B029F76AD7}" srcOrd="1" destOrd="0" presId="urn:microsoft.com/office/officeart/2005/8/layout/hierarchy2"/>
    <dgm:cxn modelId="{F4213923-0EE9-41C2-98B0-1BB976CCD7EE}" type="presParOf" srcId="{6A9A0C1C-07A0-4CD4-83CD-83B697A5B6A5}" destId="{3F8A7105-9DD4-4103-997F-B61CF1BEF625}" srcOrd="2" destOrd="0" presId="urn:microsoft.com/office/officeart/2005/8/layout/hierarchy2"/>
    <dgm:cxn modelId="{A5059A82-6EA6-46DB-95BF-8A99EEB65C8C}" type="presParOf" srcId="{3F8A7105-9DD4-4103-997F-B61CF1BEF625}" destId="{53742A57-786D-4F0A-8036-641EE3F28F50}" srcOrd="0" destOrd="0" presId="urn:microsoft.com/office/officeart/2005/8/layout/hierarchy2"/>
    <dgm:cxn modelId="{9892F081-DA20-4651-9BF6-16105AA6C42C}" type="presParOf" srcId="{6A9A0C1C-07A0-4CD4-83CD-83B697A5B6A5}" destId="{47C812CA-EF74-45C2-93D3-24070F139ADD}" srcOrd="3" destOrd="0" presId="urn:microsoft.com/office/officeart/2005/8/layout/hierarchy2"/>
    <dgm:cxn modelId="{09FAD469-1742-46BB-9329-5E5AF06F6901}" type="presParOf" srcId="{47C812CA-EF74-45C2-93D3-24070F139ADD}" destId="{A3D011C6-F313-4CCB-AF53-0901A5D422D4}" srcOrd="0" destOrd="0" presId="urn:microsoft.com/office/officeart/2005/8/layout/hierarchy2"/>
    <dgm:cxn modelId="{C939E55E-41F3-4D2F-9706-273F06C23C25}" type="presParOf" srcId="{47C812CA-EF74-45C2-93D3-24070F139ADD}" destId="{CD1C7402-70A2-4B8F-B3F7-349C892ADE92}" srcOrd="1" destOrd="0" presId="urn:microsoft.com/office/officeart/2005/8/layout/hierarchy2"/>
    <dgm:cxn modelId="{F2B18162-7CA2-42B8-A87E-41B6B7222086}" type="presParOf" srcId="{D8D131C0-BC97-4A66-9253-E8C022852AA3}" destId="{F79DE673-7AB1-434F-808C-0CD2CE96822C}" srcOrd="2" destOrd="0" presId="urn:microsoft.com/office/officeart/2005/8/layout/hierarchy2"/>
    <dgm:cxn modelId="{0D12E055-546B-42D2-A7B2-3436281DA0B3}" type="presParOf" srcId="{F79DE673-7AB1-434F-808C-0CD2CE96822C}" destId="{9C7A2F80-F40E-4B9D-89EF-A145610A3D6D}" srcOrd="0" destOrd="0" presId="urn:microsoft.com/office/officeart/2005/8/layout/hierarchy2"/>
    <dgm:cxn modelId="{9DF922EA-7411-43C1-9409-2E8A2C79842E}" type="presParOf" srcId="{D8D131C0-BC97-4A66-9253-E8C022852AA3}" destId="{41CF85EA-3CF2-4E54-9B21-6FB743FFEB31}" srcOrd="3" destOrd="0" presId="urn:microsoft.com/office/officeart/2005/8/layout/hierarchy2"/>
    <dgm:cxn modelId="{33EC32FB-B742-41D4-B3D9-6C037CDE67C4}" type="presParOf" srcId="{41CF85EA-3CF2-4E54-9B21-6FB743FFEB31}" destId="{0F9CA300-0D6F-4762-B095-2933B6C45DE7}" srcOrd="0" destOrd="0" presId="urn:microsoft.com/office/officeart/2005/8/layout/hierarchy2"/>
    <dgm:cxn modelId="{5D7E93EC-2103-4893-9AED-AD639AE47E16}" type="presParOf" srcId="{41CF85EA-3CF2-4E54-9B21-6FB743FFEB31}" destId="{A2A56BC6-716C-4C50-A141-F91AE3D0329B}" srcOrd="1" destOrd="0" presId="urn:microsoft.com/office/officeart/2005/8/layout/hierarchy2"/>
    <dgm:cxn modelId="{3631D2E3-F879-4645-8916-82D0C1755713}" type="presParOf" srcId="{A2A56BC6-716C-4C50-A141-F91AE3D0329B}" destId="{B8C7E20C-3BEC-4586-AA40-13E95B84E618}" srcOrd="0" destOrd="0" presId="urn:microsoft.com/office/officeart/2005/8/layout/hierarchy2"/>
    <dgm:cxn modelId="{A31DE57E-8EE4-4345-90E2-E69DAD8F572D}" type="presParOf" srcId="{B8C7E20C-3BEC-4586-AA40-13E95B84E618}" destId="{C0FBFA93-04EA-426E-9287-A6A51D73F84B}" srcOrd="0" destOrd="0" presId="urn:microsoft.com/office/officeart/2005/8/layout/hierarchy2"/>
    <dgm:cxn modelId="{68763DAE-5A39-4AF6-89BB-D0E09FA4B16A}" type="presParOf" srcId="{A2A56BC6-716C-4C50-A141-F91AE3D0329B}" destId="{64211248-6784-4E25-930A-20754C3CEFBA}" srcOrd="1" destOrd="0" presId="urn:microsoft.com/office/officeart/2005/8/layout/hierarchy2"/>
    <dgm:cxn modelId="{2EC1D749-E634-4B3A-B0E4-EA0648295D24}" type="presParOf" srcId="{64211248-6784-4E25-930A-20754C3CEFBA}" destId="{FEBA2126-D778-4972-A049-942F2F36FDAD}" srcOrd="0" destOrd="0" presId="urn:microsoft.com/office/officeart/2005/8/layout/hierarchy2"/>
    <dgm:cxn modelId="{84336184-0B51-48E0-BA12-FA1D3AF580B6}" type="presParOf" srcId="{64211248-6784-4E25-930A-20754C3CEFBA}" destId="{655C98E0-3994-498B-8830-CB39782C0372}" srcOrd="1" destOrd="0" presId="urn:microsoft.com/office/officeart/2005/8/layout/hierarchy2"/>
    <dgm:cxn modelId="{33CAF3A9-8F5F-4C69-809D-26520BCD2E48}" type="presParOf" srcId="{A2A56BC6-716C-4C50-A141-F91AE3D0329B}" destId="{4642B667-4B9E-4D1A-9888-BBED30527F14}" srcOrd="2" destOrd="0" presId="urn:microsoft.com/office/officeart/2005/8/layout/hierarchy2"/>
    <dgm:cxn modelId="{2CD7474D-7979-4862-846B-EAA2A0ACD8EE}" type="presParOf" srcId="{4642B667-4B9E-4D1A-9888-BBED30527F14}" destId="{CEA63DA7-C49E-4283-9F4F-9BEB3282921F}" srcOrd="0" destOrd="0" presId="urn:microsoft.com/office/officeart/2005/8/layout/hierarchy2"/>
    <dgm:cxn modelId="{9A09698B-99A8-423C-AC48-E58A11A405B0}" type="presParOf" srcId="{A2A56BC6-716C-4C50-A141-F91AE3D0329B}" destId="{BF4C40E8-461F-4BA8-B7D6-C4565D0E9262}" srcOrd="3" destOrd="0" presId="urn:microsoft.com/office/officeart/2005/8/layout/hierarchy2"/>
    <dgm:cxn modelId="{5700EFB7-9888-42E6-9CF9-604647E5F812}" type="presParOf" srcId="{BF4C40E8-461F-4BA8-B7D6-C4565D0E9262}" destId="{1CB2D548-CD7D-454D-BDF1-A5377614846C}" srcOrd="0" destOrd="0" presId="urn:microsoft.com/office/officeart/2005/8/layout/hierarchy2"/>
    <dgm:cxn modelId="{DCEE3F20-5604-4D35-A5B1-835A1E3311D4}" type="presParOf" srcId="{BF4C40E8-461F-4BA8-B7D6-C4565D0E9262}" destId="{D678AEE6-F5E8-4E94-A50D-2588FF503E20}"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A1927A-4D5C-482E-AA4F-4B349BC0FF80}">
      <dsp:nvSpPr>
        <dsp:cNvPr id="0" name=""/>
        <dsp:cNvSpPr/>
      </dsp:nvSpPr>
      <dsp:spPr>
        <a:xfrm>
          <a:off x="2076" y="974868"/>
          <a:ext cx="945268" cy="472634"/>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ts val="1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Todas as Empresas</a:t>
          </a:r>
        </a:p>
        <a:p>
          <a:pPr lvl="0" algn="ctr" defTabSz="444500">
            <a:lnSpc>
              <a:spcPct val="100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(49.454)</a:t>
          </a:r>
        </a:p>
      </dsp:txBody>
      <dsp:txXfrm>
        <a:off x="15919" y="988711"/>
        <a:ext cx="917582" cy="444948"/>
      </dsp:txXfrm>
    </dsp:sp>
    <dsp:sp modelId="{FF3BC3BC-ABDB-4ED8-855B-F3EAFA0E7661}">
      <dsp:nvSpPr>
        <dsp:cNvPr id="0" name=""/>
        <dsp:cNvSpPr/>
      </dsp:nvSpPr>
      <dsp:spPr>
        <a:xfrm rot="18290275">
          <a:off x="805454" y="922000"/>
          <a:ext cx="661886" cy="35112"/>
        </a:xfrm>
        <a:custGeom>
          <a:avLst/>
          <a:gdLst/>
          <a:ahLst/>
          <a:cxnLst/>
          <a:rect l="0" t="0" r="0" b="0"/>
          <a:pathLst>
            <a:path>
              <a:moveTo>
                <a:pt x="0" y="17556"/>
              </a:moveTo>
              <a:lnTo>
                <a:pt x="661886" y="1755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latin typeface="Arial" panose="020B0604020202020204" pitchFamily="34" charset="0"/>
            <a:cs typeface="Arial" panose="020B0604020202020204" pitchFamily="34" charset="0"/>
          </a:endParaRPr>
        </a:p>
      </dsp:txBody>
      <dsp:txXfrm>
        <a:off x="1119850" y="923009"/>
        <a:ext cx="33094" cy="33094"/>
      </dsp:txXfrm>
    </dsp:sp>
    <dsp:sp modelId="{F505F618-7A8D-4887-A154-D3AB5D1B1106}">
      <dsp:nvSpPr>
        <dsp:cNvPr id="0" name=""/>
        <dsp:cNvSpPr/>
      </dsp:nvSpPr>
      <dsp:spPr>
        <a:xfrm>
          <a:off x="1325451" y="431611"/>
          <a:ext cx="945268" cy="472634"/>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ts val="1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Ativas em Inovação</a:t>
          </a:r>
        </a:p>
        <a:p>
          <a:pPr lvl="0" algn="ctr" defTabSz="444500">
            <a:lnSpc>
              <a:spcPct val="100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(26.033)</a:t>
          </a:r>
        </a:p>
      </dsp:txBody>
      <dsp:txXfrm>
        <a:off x="1339294" y="445454"/>
        <a:ext cx="917582" cy="444948"/>
      </dsp:txXfrm>
    </dsp:sp>
    <dsp:sp modelId="{B0B16D09-6C30-44C4-9E73-C15F4EC2889A}">
      <dsp:nvSpPr>
        <dsp:cNvPr id="0" name=""/>
        <dsp:cNvSpPr/>
      </dsp:nvSpPr>
      <dsp:spPr>
        <a:xfrm rot="19457599">
          <a:off x="2226953" y="514489"/>
          <a:ext cx="465640" cy="35112"/>
        </a:xfrm>
        <a:custGeom>
          <a:avLst/>
          <a:gdLst/>
          <a:ahLst/>
          <a:cxnLst/>
          <a:rect l="0" t="0" r="0" b="0"/>
          <a:pathLst>
            <a:path>
              <a:moveTo>
                <a:pt x="0" y="17556"/>
              </a:moveTo>
              <a:lnTo>
                <a:pt x="465640" y="1755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latin typeface="Arial" panose="020B0604020202020204" pitchFamily="34" charset="0"/>
            <a:cs typeface="Arial" panose="020B0604020202020204" pitchFamily="34" charset="0"/>
          </a:endParaRPr>
        </a:p>
      </dsp:txBody>
      <dsp:txXfrm>
        <a:off x="2448132" y="520405"/>
        <a:ext cx="23282" cy="23282"/>
      </dsp:txXfrm>
    </dsp:sp>
    <dsp:sp modelId="{A8F95C79-862D-48A1-9D20-22A999C6CCFF}">
      <dsp:nvSpPr>
        <dsp:cNvPr id="0" name=""/>
        <dsp:cNvSpPr/>
      </dsp:nvSpPr>
      <dsp:spPr>
        <a:xfrm>
          <a:off x="2648827" y="160390"/>
          <a:ext cx="946695" cy="471546"/>
        </a:xfrm>
        <a:prstGeom prst="roundRect">
          <a:avLst>
            <a:gd name="adj" fmla="val 10000"/>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ts val="1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Inovadoras</a:t>
          </a:r>
        </a:p>
        <a:p>
          <a:pPr lvl="0" algn="ctr" defTabSz="444500">
            <a:lnSpc>
              <a:spcPct val="100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(24.729)</a:t>
          </a:r>
          <a:endParaRPr lang="pt-BR" sz="1000" kern="1200">
            <a:latin typeface="Arial" panose="020B0604020202020204" pitchFamily="34" charset="0"/>
            <a:cs typeface="Arial" panose="020B0604020202020204" pitchFamily="34" charset="0"/>
          </a:endParaRPr>
        </a:p>
      </dsp:txBody>
      <dsp:txXfrm>
        <a:off x="2662638" y="174201"/>
        <a:ext cx="919073" cy="443924"/>
      </dsp:txXfrm>
    </dsp:sp>
    <dsp:sp modelId="{3F8A7105-9DD4-4103-997F-B61CF1BEF625}">
      <dsp:nvSpPr>
        <dsp:cNvPr id="0" name=""/>
        <dsp:cNvSpPr/>
      </dsp:nvSpPr>
      <dsp:spPr>
        <a:xfrm rot="2139141">
          <a:off x="2227111" y="785982"/>
          <a:ext cx="465323" cy="35112"/>
        </a:xfrm>
        <a:custGeom>
          <a:avLst/>
          <a:gdLst/>
          <a:ahLst/>
          <a:cxnLst/>
          <a:rect l="0" t="0" r="0" b="0"/>
          <a:pathLst>
            <a:path>
              <a:moveTo>
                <a:pt x="0" y="17556"/>
              </a:moveTo>
              <a:lnTo>
                <a:pt x="465323" y="1755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latin typeface="Arial" panose="020B0604020202020204" pitchFamily="34" charset="0"/>
            <a:cs typeface="Arial" panose="020B0604020202020204" pitchFamily="34" charset="0"/>
          </a:endParaRPr>
        </a:p>
      </dsp:txBody>
      <dsp:txXfrm>
        <a:off x="2448140" y="791905"/>
        <a:ext cx="23266" cy="23266"/>
      </dsp:txXfrm>
    </dsp:sp>
    <dsp:sp modelId="{A3D011C6-F313-4CCB-AF53-0901A5D422D4}">
      <dsp:nvSpPr>
        <dsp:cNvPr id="0" name=""/>
        <dsp:cNvSpPr/>
      </dsp:nvSpPr>
      <dsp:spPr>
        <a:xfrm>
          <a:off x="2648827" y="702832"/>
          <a:ext cx="945268" cy="472634"/>
        </a:xfrm>
        <a:prstGeom prst="roundRect">
          <a:avLst>
            <a:gd name="adj" fmla="val 10000"/>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ts val="1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Falharam em Inovar</a:t>
          </a:r>
        </a:p>
        <a:p>
          <a:pPr lvl="0" algn="ctr" defTabSz="444500">
            <a:lnSpc>
              <a:spcPct val="100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(1.304)</a:t>
          </a:r>
          <a:endParaRPr lang="pt-BR" sz="1000" kern="1200">
            <a:latin typeface="Arial" panose="020B0604020202020204" pitchFamily="34" charset="0"/>
            <a:cs typeface="Arial" panose="020B0604020202020204" pitchFamily="34" charset="0"/>
          </a:endParaRPr>
        </a:p>
      </dsp:txBody>
      <dsp:txXfrm>
        <a:off x="2662670" y="716675"/>
        <a:ext cx="917582" cy="444948"/>
      </dsp:txXfrm>
    </dsp:sp>
    <dsp:sp modelId="{F79DE673-7AB1-434F-808C-0CD2CE96822C}">
      <dsp:nvSpPr>
        <dsp:cNvPr id="0" name=""/>
        <dsp:cNvSpPr/>
      </dsp:nvSpPr>
      <dsp:spPr>
        <a:xfrm rot="3309725">
          <a:off x="805454" y="1465258"/>
          <a:ext cx="661886" cy="35112"/>
        </a:xfrm>
        <a:custGeom>
          <a:avLst/>
          <a:gdLst/>
          <a:ahLst/>
          <a:cxnLst/>
          <a:rect l="0" t="0" r="0" b="0"/>
          <a:pathLst>
            <a:path>
              <a:moveTo>
                <a:pt x="0" y="17556"/>
              </a:moveTo>
              <a:lnTo>
                <a:pt x="661886" y="1755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latin typeface="Arial" panose="020B0604020202020204" pitchFamily="34" charset="0"/>
            <a:cs typeface="Arial" panose="020B0604020202020204" pitchFamily="34" charset="0"/>
          </a:endParaRPr>
        </a:p>
      </dsp:txBody>
      <dsp:txXfrm>
        <a:off x="1119850" y="1466267"/>
        <a:ext cx="33094" cy="33094"/>
      </dsp:txXfrm>
    </dsp:sp>
    <dsp:sp modelId="{0F9CA300-0D6F-4762-B095-2933B6C45DE7}">
      <dsp:nvSpPr>
        <dsp:cNvPr id="0" name=""/>
        <dsp:cNvSpPr/>
      </dsp:nvSpPr>
      <dsp:spPr>
        <a:xfrm>
          <a:off x="1325451" y="1518126"/>
          <a:ext cx="945268" cy="472634"/>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ts val="1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Não Ativas em Inovação</a:t>
          </a:r>
        </a:p>
        <a:p>
          <a:pPr lvl="0" algn="ctr" defTabSz="444500">
            <a:lnSpc>
              <a:spcPct val="100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(23.421)</a:t>
          </a:r>
          <a:endParaRPr lang="pt-BR" sz="1000" kern="1200">
            <a:latin typeface="Arial" panose="020B0604020202020204" pitchFamily="34" charset="0"/>
            <a:cs typeface="Arial" panose="020B0604020202020204" pitchFamily="34" charset="0"/>
          </a:endParaRPr>
        </a:p>
      </dsp:txBody>
      <dsp:txXfrm>
        <a:off x="1339294" y="1531969"/>
        <a:ext cx="917582" cy="444948"/>
      </dsp:txXfrm>
    </dsp:sp>
    <dsp:sp modelId="{B8C7E20C-3BEC-4586-AA40-13E95B84E618}">
      <dsp:nvSpPr>
        <dsp:cNvPr id="0" name=""/>
        <dsp:cNvSpPr/>
      </dsp:nvSpPr>
      <dsp:spPr>
        <a:xfrm rot="19457599">
          <a:off x="2226953" y="1601004"/>
          <a:ext cx="465640" cy="35112"/>
        </a:xfrm>
        <a:custGeom>
          <a:avLst/>
          <a:gdLst/>
          <a:ahLst/>
          <a:cxnLst/>
          <a:rect l="0" t="0" r="0" b="0"/>
          <a:pathLst>
            <a:path>
              <a:moveTo>
                <a:pt x="0" y="17556"/>
              </a:moveTo>
              <a:lnTo>
                <a:pt x="465640" y="1755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latin typeface="Arial" panose="020B0604020202020204" pitchFamily="34" charset="0"/>
            <a:cs typeface="Arial" panose="020B0604020202020204" pitchFamily="34" charset="0"/>
          </a:endParaRPr>
        </a:p>
      </dsp:txBody>
      <dsp:txXfrm>
        <a:off x="2448132" y="1606919"/>
        <a:ext cx="23282" cy="23282"/>
      </dsp:txXfrm>
    </dsp:sp>
    <dsp:sp modelId="{FEBA2126-D778-4972-A049-942F2F36FDAD}">
      <dsp:nvSpPr>
        <dsp:cNvPr id="0" name=""/>
        <dsp:cNvSpPr/>
      </dsp:nvSpPr>
      <dsp:spPr>
        <a:xfrm>
          <a:off x="2648827" y="1246361"/>
          <a:ext cx="945268" cy="472634"/>
        </a:xfrm>
        <a:prstGeom prst="roundRect">
          <a:avLst>
            <a:gd name="adj" fmla="val 10000"/>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ts val="1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Inovadoras Potenciais</a:t>
          </a:r>
        </a:p>
        <a:p>
          <a:pPr lvl="0" algn="ctr" defTabSz="444500">
            <a:lnSpc>
              <a:spcPct val="100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(4.935)</a:t>
          </a:r>
          <a:endParaRPr lang="pt-BR" sz="1000" kern="1200">
            <a:latin typeface="Arial" panose="020B0604020202020204" pitchFamily="34" charset="0"/>
            <a:cs typeface="Arial" panose="020B0604020202020204" pitchFamily="34" charset="0"/>
          </a:endParaRPr>
        </a:p>
      </dsp:txBody>
      <dsp:txXfrm>
        <a:off x="2662670" y="1260204"/>
        <a:ext cx="917582" cy="444948"/>
      </dsp:txXfrm>
    </dsp:sp>
    <dsp:sp modelId="{4642B667-4B9E-4D1A-9888-BBED30527F14}">
      <dsp:nvSpPr>
        <dsp:cNvPr id="0" name=""/>
        <dsp:cNvSpPr/>
      </dsp:nvSpPr>
      <dsp:spPr>
        <a:xfrm rot="2142401">
          <a:off x="2226953" y="1872769"/>
          <a:ext cx="465640" cy="35112"/>
        </a:xfrm>
        <a:custGeom>
          <a:avLst/>
          <a:gdLst/>
          <a:ahLst/>
          <a:cxnLst/>
          <a:rect l="0" t="0" r="0" b="0"/>
          <a:pathLst>
            <a:path>
              <a:moveTo>
                <a:pt x="0" y="17556"/>
              </a:moveTo>
              <a:lnTo>
                <a:pt x="465640" y="1755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latin typeface="Arial" panose="020B0604020202020204" pitchFamily="34" charset="0"/>
            <a:cs typeface="Arial" panose="020B0604020202020204" pitchFamily="34" charset="0"/>
          </a:endParaRPr>
        </a:p>
      </dsp:txBody>
      <dsp:txXfrm>
        <a:off x="2448132" y="1878684"/>
        <a:ext cx="23282" cy="23282"/>
      </dsp:txXfrm>
    </dsp:sp>
    <dsp:sp modelId="{1CB2D548-CD7D-454D-BDF1-A5377614846C}">
      <dsp:nvSpPr>
        <dsp:cNvPr id="0" name=""/>
        <dsp:cNvSpPr/>
      </dsp:nvSpPr>
      <dsp:spPr>
        <a:xfrm>
          <a:off x="2648827" y="1789890"/>
          <a:ext cx="945268" cy="472634"/>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ts val="1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Não Orientadas à Inovação</a:t>
          </a:r>
        </a:p>
        <a:p>
          <a:pPr lvl="0" algn="ctr" defTabSz="444500">
            <a:lnSpc>
              <a:spcPct val="100000"/>
            </a:lnSpc>
            <a:spcBef>
              <a:spcPct val="0"/>
            </a:spcBef>
            <a:spcAft>
              <a:spcPts val="0"/>
            </a:spcAft>
          </a:pPr>
          <a:r>
            <a:rPr lang="pt-BR" sz="1000" kern="1200">
              <a:solidFill>
                <a:schemeClr val="tx1"/>
              </a:solidFill>
              <a:latin typeface="Arial" panose="020B0604020202020204" pitchFamily="34" charset="0"/>
              <a:cs typeface="Arial" panose="020B0604020202020204" pitchFamily="34" charset="0"/>
            </a:rPr>
            <a:t>(18.486)</a:t>
          </a:r>
        </a:p>
      </dsp:txBody>
      <dsp:txXfrm>
        <a:off x="2662670" y="1803733"/>
        <a:ext cx="917582" cy="4449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069B-5CA7-4D2A-A48C-C3FB7A9E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4221</Words>
  <Characters>22757</Characters>
  <Application>Microsoft Office Word</Application>
  <DocSecurity>0</DocSecurity>
  <Lines>455</Lines>
  <Paragraphs>98</Paragraphs>
  <ScaleCrop>false</ScaleCrop>
  <HeadingPairs>
    <vt:vector size="2" baseType="variant">
      <vt:variant>
        <vt:lpstr>Título</vt:lpstr>
      </vt:variant>
      <vt:variant>
        <vt:i4>1</vt:i4>
      </vt:variant>
    </vt:vector>
  </HeadingPairs>
  <TitlesOfParts>
    <vt:vector size="1" baseType="lpstr">
      <vt:lpstr/>
    </vt:vector>
  </TitlesOfParts>
  <Company>BNDES</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Guilherme Tinoco de Lima Horta</dc:creator>
  <cp:lastModifiedBy>IBRE</cp:lastModifiedBy>
  <cp:revision>2</cp:revision>
  <cp:lastPrinted>2019-01-25T17:06:00Z</cp:lastPrinted>
  <dcterms:created xsi:type="dcterms:W3CDTF">2021-03-30T01:32:00Z</dcterms:created>
  <dcterms:modified xsi:type="dcterms:W3CDTF">2021-03-30T01:32:00Z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4220a977-6666-3726-9a25-50027fd3bb46</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http://www.zotero.org/styles/resources-policy</vt:lpwstr>
  </property>
  <property fmtid="{D5CDD505-2E9C-101B-9397-08002B2CF9AE}" pid="22" name="Mendeley Recent Style Name 8_1">
    <vt:lpwstr>Resources Policy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